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43048" w14:textId="77777777" w:rsidR="00C67215" w:rsidRPr="00C67215" w:rsidRDefault="00C67215" w:rsidP="00C672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9CE996" w14:textId="77777777" w:rsidR="00C67215" w:rsidRPr="00C67215" w:rsidRDefault="00C67215" w:rsidP="00C67215">
      <w:pPr>
        <w:ind w:hanging="709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Sağlığı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Komitesi</w:t>
      </w:r>
      <w:proofErr w:type="spellEnd"/>
    </w:p>
    <w:p w14:paraId="16B9F883" w14:textId="77777777" w:rsidR="00C67215" w:rsidRPr="00C67215" w:rsidRDefault="00C67215" w:rsidP="00C67215">
      <w:pPr>
        <w:ind w:left="-709" w:righ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Amacı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                           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verilen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hizmetlerin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sürekliliğini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personelimizin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sağlığını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korumak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güvenliğini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sağlamaktır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>.</w:t>
      </w:r>
    </w:p>
    <w:p w14:paraId="777F7BF9" w14:textId="77777777" w:rsidR="00C67215" w:rsidRPr="00C67215" w:rsidRDefault="00C67215" w:rsidP="00C67215">
      <w:pPr>
        <w:ind w:left="-709" w:right="-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Tesis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Komitesinin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Alanı:</w:t>
      </w:r>
    </w:p>
    <w:p w14:paraId="70C3FD1C" w14:textId="77777777" w:rsidR="00C67215" w:rsidRPr="00C67215" w:rsidRDefault="00C67215" w:rsidP="00C67215">
      <w:pPr>
        <w:ind w:left="-709" w:righ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sağlığı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güvenliğinin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sağlanmasından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sorumludur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Çalışanların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zarar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görme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risklerinin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azaltılması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karşılaşabileceği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fiziksel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kimyasal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biyolojik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ergonomik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psikososyal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risklerden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zarar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seviyesinin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aza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indirilmesine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yapılmasını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Risk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Biriminin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koordinasyonunda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komitelerle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entegre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biçimde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sorumluları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işbirliği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yapılarak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yürütülür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Riskli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alanlarda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çalışanlara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gerekli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önlemlerin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alınması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düzeylerine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süreç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bazında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önlemler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yapılmasını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Risk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etkinliğinin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düzenli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aralıklarla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gözden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geçirilerek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sürekliliğinin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sağlanmasına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Fiziksel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şiddete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maruz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kalma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risklerinin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azaltılması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Fakültede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personele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şiddet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girişimi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varlığında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şiddet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uygulanması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önlemlerin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olaya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müdahalenin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olayın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gerçekleşmesi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olaya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maruz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kalan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desteğin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hukuki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sürecin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Kesici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delici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alet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yaralanmalarına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risklerin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azaltılması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süreçlerinin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enfeksiyon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değerlendirilerek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ortamından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enfeksiyonlardan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korunmasına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düzenlemeler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yapılmasını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sürekliliğini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Kesici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delici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alet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yaralanmalarına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maruz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kalma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Kan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vücut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sıvılarıyla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bulaşma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risklerinin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azaltılması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süreçlerinin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enfeksiyon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değerlendirilerek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ortamından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enfeksiyonlardan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korunmasına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düzenlemeler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yapılmasını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koruyucu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ekipmanlar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kullanılmasının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sürekliliğini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vücut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sıvılarıyla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bulaş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halinde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Sağlık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tarama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programının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hazırlanması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takibi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bölüm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bazında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uzmanların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görüşleri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tarama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programının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hazırlanan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taramalarının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zamanında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sıklıkta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tarama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sonuçlarında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olumsuzluk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bakım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olanaklarının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yürütür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>.</w:t>
      </w:r>
    </w:p>
    <w:p w14:paraId="29D20C8A" w14:textId="77777777" w:rsidR="00C67215" w:rsidRPr="00C67215" w:rsidRDefault="00C67215" w:rsidP="00C67215">
      <w:pPr>
        <w:ind w:left="-709" w:right="-567"/>
        <w:rPr>
          <w:rFonts w:ascii="Times New Roman" w:hAnsi="Times New Roman" w:cs="Times New Roman"/>
          <w:sz w:val="24"/>
          <w:szCs w:val="24"/>
        </w:rPr>
      </w:pPr>
    </w:p>
    <w:p w14:paraId="7D0DC30E" w14:textId="68F19119" w:rsidR="00C67215" w:rsidRPr="00C67215" w:rsidRDefault="00C67215" w:rsidP="00C67215">
      <w:pPr>
        <w:ind w:left="-567" w:right="-426"/>
        <w:rPr>
          <w:rFonts w:ascii="Times New Roman" w:hAnsi="Times New Roman" w:cs="Times New Roman"/>
          <w:sz w:val="24"/>
          <w:szCs w:val="24"/>
        </w:rPr>
      </w:pP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Komitenin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Görevleri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                                     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zarar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alanlarda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önlemlerin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fiziksel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şiddete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maruz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kalınma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kesici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delici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alet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yaralanmasına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vücut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sıvılarıyla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bulaşma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                              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tarama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programının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hazırlanması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takibini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>.</w:t>
      </w:r>
      <w:r w:rsidR="00FC11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*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r w:rsidR="00FC11DC" w:rsidRPr="003E4CE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mevzuat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gereğince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bünyesinde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İş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Sağlığı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bulunan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kurumlarda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sağlığı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alanındaki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sorumluluklar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kurul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1DC">
        <w:rPr>
          <w:rFonts w:ascii="Times New Roman" w:hAnsi="Times New Roman" w:cs="Times New Roman"/>
          <w:sz w:val="24"/>
          <w:szCs w:val="24"/>
        </w:rPr>
        <w:t>yürütülür</w:t>
      </w:r>
      <w:proofErr w:type="spellEnd"/>
      <w:r w:rsidR="00FC11DC">
        <w:rPr>
          <w:rFonts w:ascii="Times New Roman" w:hAnsi="Times New Roman" w:cs="Times New Roman"/>
          <w:sz w:val="24"/>
          <w:szCs w:val="24"/>
        </w:rPr>
        <w:t>.</w:t>
      </w:r>
      <w:r w:rsidR="00FC11DC" w:rsidRPr="003E4C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1400F829" w14:textId="77777777" w:rsidR="00C67215" w:rsidRPr="00C67215" w:rsidRDefault="00C67215" w:rsidP="00C67215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Sağlığı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Üyelerinin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Yetki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Sorumlulukları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560"/>
        <w:gridCol w:w="2387"/>
        <w:gridCol w:w="6827"/>
      </w:tblGrid>
      <w:tr w:rsidR="00C67215" w:rsidRPr="00C67215" w14:paraId="2BFE96DC" w14:textId="77777777" w:rsidTr="00FC11DC">
        <w:trPr>
          <w:trHeight w:val="7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EAFB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477F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A256" w14:textId="77777777" w:rsidR="00C67215" w:rsidRPr="00C67215" w:rsidRDefault="00C6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Komitenin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toplanması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kararların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uygulanmasının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</w:p>
        </w:tc>
      </w:tr>
      <w:tr w:rsidR="00C67215" w:rsidRPr="00C67215" w14:paraId="4B3493BC" w14:textId="77777777" w:rsidTr="00FC11DC">
        <w:trPr>
          <w:trHeight w:val="15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32B0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6FB1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Hastane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Müdürü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A668" w14:textId="77777777" w:rsidR="00C67215" w:rsidRPr="00C67215" w:rsidRDefault="00C6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İdari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alanlarda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çalışanların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zarar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görme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fiziksel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şiddete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maruz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kalma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risklerinin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azaltılması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koruyucu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kullanımının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Personellerin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konularda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iş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birliğinde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bulunmak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215" w:rsidRPr="00C67215" w14:paraId="30D7CF3D" w14:textId="77777777" w:rsidTr="00FC11DC">
        <w:trPr>
          <w:trHeight w:val="4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76BA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98D6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Radyoloji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065D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Radyasyon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güvenliğinin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215" w:rsidRPr="00C67215" w14:paraId="34A1646F" w14:textId="77777777" w:rsidTr="00FC11DC">
        <w:trPr>
          <w:trHeight w:val="5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2C80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266E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Diş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Hekimi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3470" w14:textId="77777777" w:rsidR="00C67215" w:rsidRPr="00C67215" w:rsidRDefault="00C6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Hekimler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adına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güvenliğinin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215" w:rsidRPr="00C67215" w14:paraId="09D4AB19" w14:textId="77777777" w:rsidTr="00FC11DC"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D58F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A39E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Çalışanı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7FA" w14:textId="77777777" w:rsidR="00C67215" w:rsidRPr="00C67215" w:rsidRDefault="00C6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alanlarının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SKS ye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uygunluğunu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215" w:rsidRPr="00C67215" w14:paraId="2895B0AF" w14:textId="77777777" w:rsidTr="00FC11DC">
        <w:trPr>
          <w:trHeight w:val="52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996D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BF0B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Uzmanı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D7AD" w14:textId="77777777" w:rsidR="00C67215" w:rsidRPr="00C67215" w:rsidRDefault="00C6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Güvenliğinin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</w:p>
        </w:tc>
      </w:tr>
      <w:tr w:rsidR="00C67215" w:rsidRPr="00C67215" w14:paraId="4ED1AA51" w14:textId="77777777" w:rsidTr="00FC11DC">
        <w:trPr>
          <w:trHeight w:val="9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0331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3711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7B94" w14:textId="77777777" w:rsidR="00C67215" w:rsidRPr="00C67215" w:rsidRDefault="00C6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Merkezimizde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çalışan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güvenliğinin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sekretarya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işlerinin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yürütülmesi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7215" w:rsidRPr="00C67215" w14:paraId="43D8C7BA" w14:textId="77777777" w:rsidTr="00FC11DC">
        <w:trPr>
          <w:trHeight w:val="10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BF30" w14:textId="16551250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8581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835F" w14:textId="77777777" w:rsidR="00C67215" w:rsidRPr="00C67215" w:rsidRDefault="00C672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7215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Komitenin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hizmet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içi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işlemlerini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yürütür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hizmeti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alanlarda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çalışanların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zarar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görme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fiziksel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şiddete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maruz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kalma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risklerinin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azaltılması</w:t>
            </w:r>
            <w:proofErr w:type="spellEnd"/>
          </w:p>
        </w:tc>
      </w:tr>
      <w:tr w:rsidR="00C67215" w:rsidRPr="00C67215" w14:paraId="17640CEF" w14:textId="77777777" w:rsidTr="00FC11DC">
        <w:trPr>
          <w:trHeight w:val="1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F9D8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Üye</w:t>
            </w:r>
            <w:proofErr w:type="spellEnd"/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B40D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6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35CF" w14:textId="77777777" w:rsidR="00C67215" w:rsidRPr="00C67215" w:rsidRDefault="00C6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hizmeti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sunulan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alanlarda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çalışanların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zarar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görme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fiziksel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şiddete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maruz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kalma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risklerinin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azaltılması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kişisel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koruyucu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ekipman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kullanımının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C67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FAE2BF2" w14:textId="77777777" w:rsidR="00C67215" w:rsidRPr="00C67215" w:rsidRDefault="00C67215" w:rsidP="00C672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D8A693" w14:textId="6D3DA82B" w:rsidR="00C67215" w:rsidRPr="00C67215" w:rsidRDefault="00C67215" w:rsidP="00C67215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Toplanması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Çalışma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Esasları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:                                                           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r w:rsidRPr="00C6721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yılda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dört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kez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aylık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periyotlarla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gerektiğinde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toplanır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</w:t>
      </w:r>
      <w:r w:rsidRPr="00C6721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Yıllık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herhangi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sebepten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ötürü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ekipte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almayan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personelin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üyelerinden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vekalet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eder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</w:t>
      </w:r>
      <w:r w:rsidRPr="00C6721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Ekibin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sekretaryasını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Birim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Sorumlusu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yürütür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Toplantılar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sekretarya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üyelere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40E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="00B14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40E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öncesinden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yönetici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zamanı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gündemi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yaklaşık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duyurulmasını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kayıtlarının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tutulmasını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kararların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>.                                                   4.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toplantılar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kayıt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altına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alınır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toplantıda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kararları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Karar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Tutanağı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üst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yönetime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Birimine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bildirilir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alanına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ilişkin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çalışmalarını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başlatır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faaliyeti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takip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edilir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</w:t>
      </w:r>
      <w:r w:rsidRPr="00C6721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mevcut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durumu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etmeli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belirlemeli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düzeltici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önleyici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faaliyet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planları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yapmalı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planları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idaresi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gerçekleştirmelidir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Komitesi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uygulamalarını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planlarken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gerçekleştirirken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diğer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komitelerden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destek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alır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koordineli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</w:t>
      </w:r>
      <w:r w:rsidRPr="00C6721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kararlar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içeriğince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durumlarda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düzenleyici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önleyici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faaliyeti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başlatılır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>.</w:t>
      </w:r>
    </w:p>
    <w:p w14:paraId="3D7B3011" w14:textId="77777777" w:rsidR="00C67215" w:rsidRPr="00C67215" w:rsidRDefault="00C67215" w:rsidP="00C67215">
      <w:pPr>
        <w:ind w:left="-1417" w:right="-567"/>
        <w:rPr>
          <w:rFonts w:ascii="Times New Roman" w:hAnsi="Times New Roman" w:cs="Times New Roman"/>
          <w:sz w:val="24"/>
          <w:szCs w:val="24"/>
        </w:rPr>
      </w:pPr>
      <w:r w:rsidRPr="00C6721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Komitenin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Alanı İle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İlgili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b/>
          <w:bCs/>
          <w:sz w:val="24"/>
          <w:szCs w:val="24"/>
        </w:rPr>
        <w:t>Faaliyetleri</w:t>
      </w:r>
      <w:proofErr w:type="spellEnd"/>
      <w:r w:rsidRPr="00C672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EFCDC6" w14:textId="77777777" w:rsidR="00C67215" w:rsidRPr="00C67215" w:rsidRDefault="00C67215" w:rsidP="00C67215">
      <w:pPr>
        <w:ind w:left="-567" w:right="-567"/>
        <w:rPr>
          <w:rFonts w:ascii="Times New Roman" w:hAnsi="Times New Roman" w:cs="Times New Roman"/>
          <w:sz w:val="24"/>
          <w:szCs w:val="24"/>
        </w:rPr>
      </w:pPr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faaliyetleri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belirlenir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komitesi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koordineli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eğitimlerin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verilmesi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sağlanır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sağlığı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enfeksiyonların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önlenmesi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kişisel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koruyucu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ekipman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radyolojik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işlemlere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ait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çekim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protokolleri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Radyasyon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uygulaması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alanda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personele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hasta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çalışanların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radyasyon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güvenliğinin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sağlanmasına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istenmeyen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olay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İSG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risklerle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FB5F75A" w14:textId="77777777" w:rsidR="00C67215" w:rsidRPr="00C67215" w:rsidRDefault="00C67215" w:rsidP="00C67215">
      <w:pPr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sağlığı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komitesi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eğitimleri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ihtiyaçları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belirleyerek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faaliyetini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planlar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. Plan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kaynakları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lastRenderedPageBreak/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İstenmeyen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olay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sonucu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İyileştirme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faaliyeti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ihtiyaçları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          </w:t>
      </w:r>
      <w:r w:rsidRPr="00C67215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sonucu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215">
        <w:rPr>
          <w:rFonts w:ascii="Times New Roman" w:hAnsi="Times New Roman" w:cs="Times New Roman"/>
          <w:sz w:val="24"/>
          <w:szCs w:val="24"/>
        </w:rPr>
        <w:t>ihtiyaçları</w:t>
      </w:r>
      <w:proofErr w:type="spellEnd"/>
      <w:r w:rsidRPr="00C67215">
        <w:rPr>
          <w:rFonts w:ascii="Times New Roman" w:hAnsi="Times New Roman" w:cs="Times New Roman"/>
          <w:sz w:val="24"/>
          <w:szCs w:val="24"/>
        </w:rPr>
        <w:t>.</w:t>
      </w:r>
    </w:p>
    <w:p w14:paraId="4281BF06" w14:textId="77777777" w:rsidR="008A7CD4" w:rsidRPr="00C67215" w:rsidRDefault="008A7CD4">
      <w:pPr>
        <w:rPr>
          <w:rFonts w:ascii="Times New Roman" w:hAnsi="Times New Roman" w:cs="Times New Roman"/>
          <w:sz w:val="24"/>
          <w:szCs w:val="24"/>
        </w:rPr>
      </w:pPr>
    </w:p>
    <w:sectPr w:rsidR="008A7CD4" w:rsidRPr="00C672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26A25" w14:textId="77777777" w:rsidR="00971E77" w:rsidRDefault="00971E77" w:rsidP="00960968">
      <w:pPr>
        <w:spacing w:after="0" w:line="240" w:lineRule="auto"/>
      </w:pPr>
      <w:r>
        <w:separator/>
      </w:r>
    </w:p>
  </w:endnote>
  <w:endnote w:type="continuationSeparator" w:id="0">
    <w:p w14:paraId="27DF63DC" w14:textId="77777777" w:rsidR="00971E77" w:rsidRDefault="00971E77" w:rsidP="0096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BE73" w14:textId="77777777" w:rsidR="007345A8" w:rsidRDefault="007345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B7AAD" w14:textId="77777777" w:rsidR="007345A8" w:rsidRDefault="007345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8C251" w14:textId="77777777" w:rsidR="007345A8" w:rsidRDefault="007345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2F185" w14:textId="77777777" w:rsidR="00971E77" w:rsidRDefault="00971E77" w:rsidP="00960968">
      <w:pPr>
        <w:spacing w:after="0" w:line="240" w:lineRule="auto"/>
      </w:pPr>
      <w:r>
        <w:separator/>
      </w:r>
    </w:p>
  </w:footnote>
  <w:footnote w:type="continuationSeparator" w:id="0">
    <w:p w14:paraId="65E5A2E8" w14:textId="77777777" w:rsidR="00971E77" w:rsidRDefault="00971E77" w:rsidP="0096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17C59" w14:textId="77777777" w:rsidR="007345A8" w:rsidRDefault="007345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13891" w14:textId="72B42374" w:rsidR="00877581" w:rsidRDefault="00877581">
    <w:pPr>
      <w:pStyle w:val="stBilgi"/>
    </w:pPr>
  </w:p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6"/>
      <w:gridCol w:w="1939"/>
      <w:gridCol w:w="1939"/>
      <w:gridCol w:w="1942"/>
      <w:gridCol w:w="1556"/>
    </w:tblGrid>
    <w:tr w:rsidR="00877581" w:rsidRPr="00D02BC5" w14:paraId="70126E69" w14:textId="77777777" w:rsidTr="00ED275D">
      <w:trPr>
        <w:trHeight w:val="699"/>
      </w:trPr>
      <w:tc>
        <w:tcPr>
          <w:tcW w:w="907" w:type="pct"/>
          <w:vAlign w:val="center"/>
        </w:tcPr>
        <w:p w14:paraId="1A63B765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bookmarkStart w:id="0" w:name="_GoBack" w:colFirst="0" w:colLast="4"/>
          <w:r w:rsidRPr="007345A8">
            <w:rPr>
              <w:rFonts w:cstheme="minorHAnsi"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1D52E0A7" wp14:editId="0F812742">
                <wp:extent cx="933450" cy="933450"/>
                <wp:effectExtent l="0" t="0" r="0" b="0"/>
                <wp:docPr id="8" name="Resim 8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pct"/>
          <w:gridSpan w:val="3"/>
        </w:tcPr>
        <w:p w14:paraId="6E7245E6" w14:textId="77777777" w:rsidR="007345A8" w:rsidRPr="007345A8" w:rsidRDefault="007345A8" w:rsidP="007345A8">
          <w:pPr>
            <w:spacing w:after="23" w:line="256" w:lineRule="auto"/>
            <w:ind w:right="8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b/>
              <w:sz w:val="18"/>
              <w:szCs w:val="18"/>
            </w:rPr>
            <w:t>T.C.</w:t>
          </w:r>
        </w:p>
        <w:p w14:paraId="30F07281" w14:textId="77777777" w:rsidR="007345A8" w:rsidRPr="007345A8" w:rsidRDefault="007345A8" w:rsidP="007345A8">
          <w:pPr>
            <w:spacing w:after="17" w:line="256" w:lineRule="auto"/>
            <w:ind w:right="8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b/>
              <w:sz w:val="18"/>
              <w:szCs w:val="18"/>
            </w:rPr>
            <w:t>AKSARAY ÜNİVERSİTESİ</w:t>
          </w:r>
        </w:p>
        <w:p w14:paraId="136592B6" w14:textId="77777777" w:rsidR="007345A8" w:rsidRPr="007345A8" w:rsidRDefault="007345A8" w:rsidP="007345A8">
          <w:pPr>
            <w:spacing w:line="256" w:lineRule="auto"/>
            <w:ind w:right="6"/>
            <w:jc w:val="center"/>
            <w:rPr>
              <w:rFonts w:cstheme="minorHAnsi"/>
              <w:b/>
              <w:sz w:val="18"/>
              <w:szCs w:val="18"/>
            </w:rPr>
          </w:pP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Diş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Hekimliği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Fakültesi</w:t>
          </w:r>
          <w:proofErr w:type="spellEnd"/>
        </w:p>
        <w:p w14:paraId="3ABA0D69" w14:textId="77777777" w:rsidR="007345A8" w:rsidRPr="007345A8" w:rsidRDefault="007345A8" w:rsidP="007345A8">
          <w:pPr>
            <w:jc w:val="center"/>
            <w:rPr>
              <w:rFonts w:cstheme="minorHAnsi"/>
              <w:b/>
              <w:sz w:val="18"/>
              <w:szCs w:val="18"/>
            </w:rPr>
          </w:pP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Ağız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,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Diş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Sağlığı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Uygulama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ve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Araştırma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Merkezi</w:t>
          </w:r>
          <w:proofErr w:type="spellEnd"/>
        </w:p>
        <w:p w14:paraId="77C0D64C" w14:textId="77777777" w:rsidR="00877581" w:rsidRPr="007345A8" w:rsidRDefault="00877581" w:rsidP="00877581">
          <w:pPr>
            <w:spacing w:line="200" w:lineRule="exact"/>
            <w:jc w:val="center"/>
            <w:rPr>
              <w:rFonts w:cstheme="minorHAnsi"/>
              <w:b/>
              <w:sz w:val="18"/>
              <w:szCs w:val="18"/>
            </w:rPr>
          </w:pP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Çalışan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Sağlığı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veGüvenliği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Komitesi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ve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Görev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Tanımı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ve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Çalışma</w:t>
          </w:r>
          <w:proofErr w:type="spellEnd"/>
          <w:r w:rsidRPr="007345A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7345A8">
            <w:rPr>
              <w:rFonts w:cstheme="minorHAnsi"/>
              <w:b/>
              <w:sz w:val="18"/>
              <w:szCs w:val="18"/>
            </w:rPr>
            <w:t>Talimatı</w:t>
          </w:r>
          <w:proofErr w:type="spellEnd"/>
        </w:p>
        <w:p w14:paraId="6959DA6A" w14:textId="7682AA09" w:rsidR="00877581" w:rsidRPr="007345A8" w:rsidRDefault="00877581" w:rsidP="00877581">
          <w:pPr>
            <w:spacing w:after="0" w:line="240" w:lineRule="auto"/>
            <w:contextualSpacing/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864" w:type="pct"/>
          <w:vAlign w:val="center"/>
        </w:tcPr>
        <w:p w14:paraId="371D09EC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68CBD87B" wp14:editId="6F3CC7CA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7581" w:rsidRPr="00D02BC5" w14:paraId="27869CC8" w14:textId="77777777" w:rsidTr="00ED275D">
      <w:tc>
        <w:tcPr>
          <w:tcW w:w="907" w:type="pct"/>
          <w:vAlign w:val="center"/>
        </w:tcPr>
        <w:p w14:paraId="0E229D85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DOKUMAN KODU</w:t>
          </w:r>
        </w:p>
      </w:tc>
      <w:tc>
        <w:tcPr>
          <w:tcW w:w="1076" w:type="pct"/>
          <w:vAlign w:val="center"/>
        </w:tcPr>
        <w:p w14:paraId="6101B608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YAYIN TARİHİ</w:t>
          </w:r>
        </w:p>
      </w:tc>
      <w:tc>
        <w:tcPr>
          <w:tcW w:w="1076" w:type="pct"/>
          <w:vAlign w:val="center"/>
        </w:tcPr>
        <w:p w14:paraId="19B12C06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REVİZYON NO</w:t>
          </w:r>
        </w:p>
      </w:tc>
      <w:tc>
        <w:tcPr>
          <w:tcW w:w="1077" w:type="pct"/>
          <w:vAlign w:val="center"/>
        </w:tcPr>
        <w:p w14:paraId="3CF290DC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REVİZYON TARİHİ</w:t>
          </w:r>
        </w:p>
      </w:tc>
      <w:tc>
        <w:tcPr>
          <w:tcW w:w="864" w:type="pct"/>
          <w:vAlign w:val="center"/>
        </w:tcPr>
        <w:p w14:paraId="40AC27FB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SAYFA NO</w:t>
          </w:r>
        </w:p>
      </w:tc>
    </w:tr>
    <w:tr w:rsidR="00877581" w:rsidRPr="00D02BC5" w14:paraId="3C5B8039" w14:textId="77777777" w:rsidTr="00ED275D">
      <w:tc>
        <w:tcPr>
          <w:tcW w:w="907" w:type="pct"/>
          <w:vAlign w:val="center"/>
        </w:tcPr>
        <w:p w14:paraId="72395AE7" w14:textId="1CC5930A" w:rsidR="007345A8" w:rsidRPr="007345A8" w:rsidRDefault="007345A8" w:rsidP="007345A8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KU.GT.39</w:t>
          </w:r>
        </w:p>
      </w:tc>
      <w:tc>
        <w:tcPr>
          <w:tcW w:w="1076" w:type="pct"/>
          <w:vAlign w:val="center"/>
        </w:tcPr>
        <w:p w14:paraId="1D613D3E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15.01.2025</w:t>
          </w:r>
        </w:p>
      </w:tc>
      <w:tc>
        <w:tcPr>
          <w:tcW w:w="1076" w:type="pct"/>
          <w:vAlign w:val="center"/>
        </w:tcPr>
        <w:p w14:paraId="36772799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-</w:t>
          </w:r>
        </w:p>
      </w:tc>
      <w:tc>
        <w:tcPr>
          <w:tcW w:w="1077" w:type="pct"/>
          <w:vAlign w:val="center"/>
        </w:tcPr>
        <w:p w14:paraId="1436FBA4" w14:textId="7777777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t>-</w:t>
          </w:r>
        </w:p>
      </w:tc>
      <w:tc>
        <w:tcPr>
          <w:tcW w:w="864" w:type="pct"/>
        </w:tcPr>
        <w:p w14:paraId="1C607B00" w14:textId="757D89C7" w:rsidR="00877581" w:rsidRPr="007345A8" w:rsidRDefault="00877581" w:rsidP="00877581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7345A8">
            <w:rPr>
              <w:rFonts w:cstheme="minorHAnsi"/>
              <w:sz w:val="18"/>
              <w:szCs w:val="18"/>
            </w:rPr>
            <w:fldChar w:fldCharType="begin"/>
          </w:r>
          <w:r w:rsidRPr="007345A8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7345A8">
            <w:rPr>
              <w:rFonts w:cstheme="minorHAnsi"/>
              <w:sz w:val="18"/>
              <w:szCs w:val="18"/>
            </w:rPr>
            <w:fldChar w:fldCharType="separate"/>
          </w:r>
          <w:r w:rsidR="007345A8">
            <w:rPr>
              <w:rFonts w:cstheme="minorHAnsi"/>
              <w:noProof/>
              <w:sz w:val="18"/>
              <w:szCs w:val="18"/>
            </w:rPr>
            <w:t>1</w:t>
          </w:r>
          <w:r w:rsidRPr="007345A8">
            <w:rPr>
              <w:rFonts w:cstheme="minorHAnsi"/>
              <w:sz w:val="18"/>
              <w:szCs w:val="18"/>
            </w:rPr>
            <w:fldChar w:fldCharType="end"/>
          </w:r>
          <w:r w:rsidRPr="007345A8">
            <w:rPr>
              <w:rFonts w:cstheme="minorHAnsi"/>
              <w:sz w:val="18"/>
              <w:szCs w:val="18"/>
            </w:rPr>
            <w:t>/</w:t>
          </w:r>
          <w:r w:rsidRPr="007345A8">
            <w:rPr>
              <w:rFonts w:cstheme="minorHAnsi"/>
              <w:sz w:val="18"/>
              <w:szCs w:val="18"/>
            </w:rPr>
            <w:fldChar w:fldCharType="begin"/>
          </w:r>
          <w:r w:rsidRPr="007345A8">
            <w:rPr>
              <w:rFonts w:cstheme="minorHAnsi"/>
              <w:sz w:val="18"/>
              <w:szCs w:val="18"/>
            </w:rPr>
            <w:instrText xml:space="preserve"> NUMPAGES  \# "0" \* Arabic  \* MERGEFORMAT </w:instrText>
          </w:r>
          <w:r w:rsidRPr="007345A8">
            <w:rPr>
              <w:rFonts w:cstheme="minorHAnsi"/>
              <w:sz w:val="18"/>
              <w:szCs w:val="18"/>
            </w:rPr>
            <w:fldChar w:fldCharType="separate"/>
          </w:r>
          <w:r w:rsidR="007345A8">
            <w:rPr>
              <w:rFonts w:cstheme="minorHAnsi"/>
              <w:noProof/>
              <w:sz w:val="18"/>
              <w:szCs w:val="18"/>
            </w:rPr>
            <w:t>4</w:t>
          </w:r>
          <w:r w:rsidRPr="007345A8">
            <w:rPr>
              <w:rFonts w:cstheme="minorHAnsi"/>
              <w:sz w:val="18"/>
              <w:szCs w:val="18"/>
            </w:rPr>
            <w:fldChar w:fldCharType="end"/>
          </w:r>
        </w:p>
      </w:tc>
    </w:tr>
    <w:bookmarkEnd w:id="0"/>
  </w:tbl>
  <w:p w14:paraId="5060FDDF" w14:textId="5E80150B" w:rsidR="00877581" w:rsidRDefault="00877581">
    <w:pPr>
      <w:pStyle w:val="stBilgi"/>
    </w:pPr>
  </w:p>
  <w:p w14:paraId="6B0980DA" w14:textId="77777777" w:rsidR="00960968" w:rsidRDefault="009609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E3419" w14:textId="77777777" w:rsidR="007345A8" w:rsidRDefault="007345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D4"/>
    <w:rsid w:val="005C306E"/>
    <w:rsid w:val="006B40F2"/>
    <w:rsid w:val="007345A8"/>
    <w:rsid w:val="00877581"/>
    <w:rsid w:val="008A7CD4"/>
    <w:rsid w:val="00960968"/>
    <w:rsid w:val="00971E77"/>
    <w:rsid w:val="00B1440E"/>
    <w:rsid w:val="00C67215"/>
    <w:rsid w:val="00EC5DF9"/>
    <w:rsid w:val="00FC012B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564B"/>
  <w15:chartTrackingRefBased/>
  <w15:docId w15:val="{CD3C7293-C204-4FEF-BC94-D280C1FA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21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6721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968"/>
    <w:rPr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6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968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KESKİN</dc:creator>
  <cp:keywords/>
  <dc:description/>
  <cp:lastModifiedBy>pc</cp:lastModifiedBy>
  <cp:revision>8</cp:revision>
  <dcterms:created xsi:type="dcterms:W3CDTF">2023-03-16T07:53:00Z</dcterms:created>
  <dcterms:modified xsi:type="dcterms:W3CDTF">2025-01-22T07:12:00Z</dcterms:modified>
</cp:coreProperties>
</file>