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A471" w14:textId="77777777" w:rsidR="009C07C7" w:rsidRPr="00FD6272" w:rsidRDefault="009C07C7" w:rsidP="009C07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33D59" w14:textId="77777777" w:rsidR="009C07C7" w:rsidRPr="00FD6272" w:rsidRDefault="009C07C7" w:rsidP="009C0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Komitesi</w:t>
      </w:r>
      <w:proofErr w:type="spellEnd"/>
    </w:p>
    <w:p w14:paraId="2D153EF3" w14:textId="5B95F805" w:rsidR="009C07C7" w:rsidRPr="00FD6272" w:rsidRDefault="009C07C7" w:rsidP="009C0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Amac</w:t>
      </w:r>
      <w:r w:rsidR="00414F9B">
        <w:rPr>
          <w:rFonts w:ascii="Times New Roman" w:hAnsi="Times New Roman" w:cs="Times New Roman"/>
          <w:b/>
          <w:bCs/>
          <w:sz w:val="24"/>
          <w:szCs w:val="24"/>
        </w:rPr>
        <w:t>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Merkezimizdeki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ilişkili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gelişen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hastalıklarını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altına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sorunları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çözümüne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düzenleyip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yürütmek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kararları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mercilere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iletmek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düzenlemeleri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>.</w:t>
      </w:r>
    </w:p>
    <w:p w14:paraId="231CABEC" w14:textId="77777777" w:rsidR="009C07C7" w:rsidRPr="00FD6272" w:rsidRDefault="009C07C7" w:rsidP="009C0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Kontrolü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Önlenmesi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Komitesinin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Alanı: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Sağlık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Hizmeti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süreçlerinin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riski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açısından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değerlendirilmesi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çalışanını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bulaşma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riskine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korumak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adına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prensiplere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uyulmasını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değerlendirmeler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düzeltici-önleyici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Hijyeni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hijyeninin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çalışanları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hastalarda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uygulanmasını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önlemlerin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belirli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aralıklarla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hijyeni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gözlemlerinin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sonuçlarının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değerlendirilmesini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İzolasyon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Önlemleri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İnfekte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kolonize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hastalardan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hastalara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personeline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bulaşmasını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Bildirimi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zorunlu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hastalıkların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ulusal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sürveyans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kontrol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sistemine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bildirilmesi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.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Akılcı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antibiyotik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kullanımı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Temizlik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dezenfeksiyon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sterilizasyon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asepsi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antisepsi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Tanımlarda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belirtilen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işlemler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için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önlemlerin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alınması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sağlamak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Temizlik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çoğalmasını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yayılmasını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görünen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kirin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maddelerin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yok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edilmesidir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Asepsi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yokluğudur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Hasta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temasa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gelecek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araç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gereçleri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ajanlarından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arıtmak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kirlenme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yollarının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kaldırılması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tedbirlerin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hepsidir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Sterilizasyon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içindeki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yüzeyindeki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sporlar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dâhil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formlarının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yok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işlemidir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Dezenfeksiyon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Cansız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objelerde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6272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yapabilen</w:t>
      </w:r>
      <w:proofErr w:type="spellEnd"/>
      <w:proofErr w:type="gram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sporlar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hariç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) yok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çoğalmasının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engellenmesi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işlemidir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Antisepsi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Vücut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yüzeyindeki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canlı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aktiviteye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lastRenderedPageBreak/>
        <w:t>sahip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antiseptik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indirgenmesidir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Çalışanların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mesleki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enfeksiyonu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mesleklerini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icra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mesleğinden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C46B1" w14:textId="77777777" w:rsidR="009C07C7" w:rsidRPr="00FD6272" w:rsidRDefault="009C07C7" w:rsidP="009C07C7">
      <w:pPr>
        <w:rPr>
          <w:rFonts w:ascii="Times New Roman" w:hAnsi="Times New Roman" w:cs="Times New Roman"/>
          <w:sz w:val="24"/>
          <w:szCs w:val="24"/>
        </w:rPr>
      </w:pPr>
    </w:p>
    <w:p w14:paraId="0BBCDDEA" w14:textId="77777777" w:rsidR="009C07C7" w:rsidRPr="00FD6272" w:rsidRDefault="009C07C7" w:rsidP="009C07C7">
      <w:p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karşılaştığı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yada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karşılaşabileceği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alabilmek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kaynaklı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çalışmalarda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enfeksiyonların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önlenmesi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çalışmalarda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önlemlerinin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yapım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onarım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çalışmalarında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tadilattaki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bölüme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giriş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çıkışlar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yapılır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Olağanüstü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durumlarda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alınacak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önlemler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Olağanüstü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salgın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durumlarında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gelecek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emir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yazı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hareket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önlemleri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Çamaşırhane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atık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yönetimi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havalandırma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sistemleri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gibi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destek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hizmetlerinde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enfeksiyonların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önlenmesi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ünite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uygulanmaktadır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sistemlerinin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bakımları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yapılarak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alınmaktadır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Yemek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hizmetleri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ile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ilgili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tüm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süreçlerde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gıda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güvenliğinin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sağlanması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Fakültemizde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yemekhane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verilmemektedir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>.</w:t>
      </w:r>
    </w:p>
    <w:p w14:paraId="679A05FD" w14:textId="77777777" w:rsidR="009C07C7" w:rsidRPr="00FD6272" w:rsidRDefault="009C07C7" w:rsidP="009C0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Kontrol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Üyeleri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Yetki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b/>
          <w:bCs/>
          <w:sz w:val="24"/>
          <w:szCs w:val="24"/>
        </w:rPr>
        <w:t>Sorumluluklari</w:t>
      </w:r>
      <w:proofErr w:type="spellEnd"/>
    </w:p>
    <w:tbl>
      <w:tblPr>
        <w:tblStyle w:val="TabloKlavuzu"/>
        <w:tblW w:w="9776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7371"/>
      </w:tblGrid>
      <w:tr w:rsidR="009C07C7" w:rsidRPr="00FD6272" w14:paraId="27321409" w14:textId="77777777" w:rsidTr="009C07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CA7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522B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0ABE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Komitenin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toplanması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kararların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  <w:proofErr w:type="spellEnd"/>
          </w:p>
        </w:tc>
      </w:tr>
      <w:tr w:rsidR="009C07C7" w:rsidRPr="00FD6272" w14:paraId="41201BA0" w14:textId="77777777" w:rsidTr="009C07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E28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09E9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0045" w14:textId="77777777" w:rsidR="009C07C7" w:rsidRPr="00FD6272" w:rsidRDefault="009C0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artan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ihtiyaçlarının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iyi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karşılanmasına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olanak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sağlayacak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kaliteli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ortamı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fiziki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işlevsel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düzenlemelerin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planlanması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yönetimine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koordine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edilmesini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iyileştirme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faaliyetini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başlatmak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takip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etmekle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7C7" w:rsidRPr="00FD6272" w14:paraId="35DAA74F" w14:textId="77777777" w:rsidTr="009C07C7">
        <w:trPr>
          <w:trHeight w:val="2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AAAF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214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hekimi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68C" w14:textId="77777777" w:rsidR="009C07C7" w:rsidRPr="00FD6272" w:rsidRDefault="009C0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görülen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yardımcı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araya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gelerek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değerlendirmek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yardımcı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direktif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tavsiye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Komitesinin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programları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çerçevesinde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komitesiyle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birimlerde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denetlemeler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enfeksiyonu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şüphesi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olduğunda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kaynağını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aramaya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sorunu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çözmeye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başlatmak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yürütmek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07C7" w:rsidRPr="00FD6272" w14:paraId="1E2657C0" w14:textId="77777777" w:rsidTr="009C07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625C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Üye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2309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Çalışanı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F246" w14:textId="77777777" w:rsidR="009C07C7" w:rsidRPr="00FD6272" w:rsidRDefault="009C07C7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D62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Sağlıkta Kalite Standartlarında yer alan Enfeksiyon Kontrol Komitesi </w:t>
            </w:r>
            <w:proofErr w:type="gramStart"/>
            <w:r w:rsidRPr="00FD62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ile  asgari</w:t>
            </w:r>
            <w:proofErr w:type="gramEnd"/>
            <w:r w:rsidRPr="00FD62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konu başlıklarına ilişkin gerekli yazılı düzenlemelerin (talimat, prosedür ve formların) hazırlanmasında ilgili birimlerle koordineli olarak çalışmak,                                                                                                                              Enfeksiyon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Konrtol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Komitesine ait bildirimler, toplantı kayıtları gibi kayıtları muhafaza etmek ve gerektiğinde ibraz etmekle yükümlüdür.</w:t>
            </w:r>
          </w:p>
        </w:tc>
      </w:tr>
    </w:tbl>
    <w:p w14:paraId="40011F04" w14:textId="77777777" w:rsidR="009C07C7" w:rsidRPr="00FD6272" w:rsidRDefault="009C07C7" w:rsidP="009C07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E3444" w14:textId="77777777" w:rsidR="009C07C7" w:rsidRPr="00FD6272" w:rsidRDefault="009C07C7" w:rsidP="009C07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9"/>
        <w:gridCol w:w="7229"/>
      </w:tblGrid>
      <w:tr w:rsidR="009C07C7" w:rsidRPr="00FD6272" w14:paraId="09485C16" w14:textId="77777777" w:rsidTr="009C0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91D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0128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  <w:p w14:paraId="0216414A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sekretarya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A9F" w14:textId="77777777" w:rsidR="009C07C7" w:rsidRPr="00FD6272" w:rsidRDefault="009C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kontrolleri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sterilizasyon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dezenfeksiyon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işlemlerini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değerlendirmek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hekim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çalışanlarla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koordinasyon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sağlayarak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hasta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güvenliğini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acısından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değerlendirerek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tedbirlerin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alınmasını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çapraz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olduğunda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kaynağını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aramaya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sorunu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çözmeye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çalışmalara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katılmak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Bölümlerle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sorunları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hekimi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bölümlere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iletmek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bölümlerin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tedbirlerinin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değerlendirilmesine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katılımlarını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genelinde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uygulamalarını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izlemek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vücut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sıvıları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Kesici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delici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alet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yaralanmalarına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maruz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kalması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yönlendirmeleri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takibinin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yapılmasını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taramalarının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yapılmasını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personeline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vermektir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7C7" w:rsidRPr="00FD6272" w14:paraId="401DF555" w14:textId="77777777" w:rsidTr="009C0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65B3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63A" w14:textId="77777777" w:rsidR="009C07C7" w:rsidRPr="00FD6272" w:rsidRDefault="009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Diş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Hekimi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AC83" w14:textId="77777777" w:rsidR="009C07C7" w:rsidRPr="00FD6272" w:rsidRDefault="009C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süreçlerinin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açısından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Akılcı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antibiyotik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kullanımı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kaynaklı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çalışmalarda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enfeksiyonların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önlenmesi</w:t>
            </w:r>
            <w:proofErr w:type="spellEnd"/>
            <w:r w:rsidRPr="00FD6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58598C41" w14:textId="77777777" w:rsidR="009C07C7" w:rsidRPr="00FD6272" w:rsidRDefault="009C07C7" w:rsidP="009C07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6734D" w14:textId="77777777" w:rsidR="009C07C7" w:rsidRPr="00FD6272" w:rsidRDefault="009C07C7" w:rsidP="009C07C7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Toplanması Çalışma Esasları:</w:t>
      </w:r>
    </w:p>
    <w:p w14:paraId="3B623B12" w14:textId="714B0A58" w:rsidR="009C07C7" w:rsidRPr="00FD6272" w:rsidRDefault="009C07C7" w:rsidP="009C07C7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1.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Komite yılda en az dört kez üç aylık </w:t>
      </w:r>
      <w:proofErr w:type="gramStart"/>
      <w:r w:rsidRPr="00FD6272">
        <w:rPr>
          <w:rFonts w:ascii="Times New Roman" w:hAnsi="Times New Roman" w:cs="Times New Roman"/>
          <w:sz w:val="24"/>
          <w:szCs w:val="24"/>
          <w:lang w:val="tr-TR"/>
        </w:rPr>
        <w:t>periyotlar</w:t>
      </w:r>
      <w:proofErr w:type="gramEnd"/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 ve gerektiğinde toplanır.                                         </w:t>
      </w: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2.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Yıllık izin veya herhangi bir sebepten ötürü ekipte yer almayan personelin yerine ekip üyelerinden biri </w:t>
      </w:r>
      <w:proofErr w:type="gramStart"/>
      <w:r w:rsidRPr="00FD6272">
        <w:rPr>
          <w:rFonts w:ascii="Times New Roman" w:hAnsi="Times New Roman" w:cs="Times New Roman"/>
          <w:sz w:val="24"/>
          <w:szCs w:val="24"/>
          <w:lang w:val="tr-TR"/>
        </w:rPr>
        <w:t>vekalet</w:t>
      </w:r>
      <w:proofErr w:type="gramEnd"/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 eder.    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3.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Ekibin sekretaryasını Enfeksiyon Birim Sorumlusu yürütür. Toplantılar sekretarya 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tarafından üyelere </w:t>
      </w:r>
      <w:r w:rsidR="001A0812">
        <w:rPr>
          <w:rFonts w:ascii="Times New Roman" w:hAnsi="Times New Roman" w:cs="Times New Roman"/>
          <w:sz w:val="24"/>
          <w:szCs w:val="24"/>
          <w:lang w:val="tr-TR"/>
        </w:rPr>
        <w:t xml:space="preserve">en az 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üç gün öncesinden (yönetici ve katılımcılar, yeri ve zamanı, gündemi ve yaklaşık süresi) duyurulmasını, toplantı kayıtlarının tutulmasını, alınan kararların takibi vb. yapar.                                  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4.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Ekip üyeleri sorumluluk alanları ile ilgili gerekli belge ve dokümanları hazırlar ve sekretaryaya teslim eder.         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b/>
          <w:bCs/>
          <w:sz w:val="24"/>
          <w:szCs w:val="24"/>
          <w:lang w:val="tr-TR"/>
        </w:rPr>
        <w:t>5.</w:t>
      </w:r>
      <w:r w:rsidRPr="00FD6272">
        <w:rPr>
          <w:rFonts w:ascii="Times New Roman" w:hAnsi="Times New Roman" w:cs="Times New Roman"/>
          <w:sz w:val="24"/>
          <w:szCs w:val="24"/>
          <w:lang w:val="tr-TR"/>
        </w:rPr>
        <w:t xml:space="preserve">Komite tarafından görev alanı ile ilgili eğitim faaliyetleri belirlenir. Eğitim Komitesi ile koordineli olarak bu eğitimlerin verilmesi sağlanır.       </w:t>
      </w:r>
    </w:p>
    <w:p w14:paraId="4281032C" w14:textId="77777777" w:rsidR="009C07C7" w:rsidRPr="00FD6272" w:rsidRDefault="009C07C7" w:rsidP="009C07C7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9467E4" w14:textId="77777777" w:rsidR="009C07C7" w:rsidRPr="00FD6272" w:rsidRDefault="009C07C7" w:rsidP="009C0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815A" w14:textId="56F1C7EF" w:rsidR="009C07C7" w:rsidRDefault="009C07C7" w:rsidP="009C07C7">
      <w:pPr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altına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kararları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Tutanağı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yönetime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Birimine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bildirilir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alanına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başlatır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 w:rsidRPr="00FD627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Komitesi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komitelerle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272">
        <w:rPr>
          <w:rFonts w:ascii="Times New Roman" w:hAnsi="Times New Roman" w:cs="Times New Roman"/>
          <w:sz w:val="24"/>
          <w:szCs w:val="24"/>
        </w:rPr>
        <w:t>çalışır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00E9E" w14:textId="0CD2D357" w:rsidR="008E3524" w:rsidRPr="00B13DA3" w:rsidRDefault="008E3524" w:rsidP="009C07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3DA3">
        <w:rPr>
          <w:rFonts w:ascii="Times New Roman" w:hAnsi="Times New Roman" w:cs="Times New Roman"/>
          <w:b/>
          <w:bCs/>
          <w:sz w:val="24"/>
          <w:szCs w:val="24"/>
        </w:rPr>
        <w:t>Komitenin</w:t>
      </w:r>
      <w:proofErr w:type="spellEnd"/>
      <w:r w:rsidRPr="00B13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3DA3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B13DA3">
        <w:rPr>
          <w:rFonts w:ascii="Times New Roman" w:hAnsi="Times New Roman" w:cs="Times New Roman"/>
          <w:b/>
          <w:bCs/>
          <w:sz w:val="24"/>
          <w:szCs w:val="24"/>
        </w:rPr>
        <w:t xml:space="preserve"> Alanı İle </w:t>
      </w:r>
      <w:proofErr w:type="spellStart"/>
      <w:r w:rsidRPr="00B13DA3">
        <w:rPr>
          <w:rFonts w:ascii="Times New Roman" w:hAnsi="Times New Roman" w:cs="Times New Roman"/>
          <w:b/>
          <w:bCs/>
          <w:sz w:val="24"/>
          <w:szCs w:val="24"/>
        </w:rPr>
        <w:t>İlgili</w:t>
      </w:r>
      <w:proofErr w:type="spellEnd"/>
      <w:r w:rsidRPr="00B13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3DA3">
        <w:rPr>
          <w:rFonts w:ascii="Times New Roman" w:hAnsi="Times New Roman" w:cs="Times New Roman"/>
          <w:b/>
          <w:bCs/>
          <w:sz w:val="24"/>
          <w:szCs w:val="24"/>
        </w:rPr>
        <w:t>Eğitim</w:t>
      </w:r>
      <w:proofErr w:type="spellEnd"/>
      <w:r w:rsidRPr="00B13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3DA3">
        <w:rPr>
          <w:rFonts w:ascii="Times New Roman" w:hAnsi="Times New Roman" w:cs="Times New Roman"/>
          <w:b/>
          <w:bCs/>
          <w:sz w:val="24"/>
          <w:szCs w:val="24"/>
        </w:rPr>
        <w:t>Faaliyetleri</w:t>
      </w:r>
      <w:proofErr w:type="spellEnd"/>
    </w:p>
    <w:p w14:paraId="0F0266B5" w14:textId="57BCFD60" w:rsidR="008E3524" w:rsidRDefault="008E3524" w:rsidP="009C07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Yılda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dahilinde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gerçekleştirilir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513AFF" w14:textId="39788E00" w:rsidR="008E3524" w:rsidRDefault="008E3524" w:rsidP="009C07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EC7322" w14:textId="30EB64CE" w:rsidR="008E3524" w:rsidRDefault="00842168" w:rsidP="009C07C7">
      <w:pPr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2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="008E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24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="008E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24">
        <w:rPr>
          <w:rFonts w:ascii="Times New Roman" w:hAnsi="Times New Roman" w:cs="Times New Roman"/>
          <w:sz w:val="24"/>
          <w:szCs w:val="24"/>
        </w:rPr>
        <w:t>çalışanlarına</w:t>
      </w:r>
      <w:proofErr w:type="spellEnd"/>
      <w:r w:rsidR="008E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24">
        <w:rPr>
          <w:rFonts w:ascii="Times New Roman" w:hAnsi="Times New Roman" w:cs="Times New Roman"/>
          <w:sz w:val="24"/>
          <w:szCs w:val="24"/>
        </w:rPr>
        <w:t>Enfeksiyonların</w:t>
      </w:r>
      <w:proofErr w:type="spellEnd"/>
      <w:r w:rsidR="008E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24">
        <w:rPr>
          <w:rFonts w:ascii="Times New Roman" w:hAnsi="Times New Roman" w:cs="Times New Roman"/>
          <w:sz w:val="24"/>
          <w:szCs w:val="24"/>
        </w:rPr>
        <w:t>Önlenmesi</w:t>
      </w:r>
      <w:proofErr w:type="spellEnd"/>
      <w:r w:rsidR="008E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84C9337" w14:textId="7F3F0D3A" w:rsidR="00842168" w:rsidRDefault="00842168" w:rsidP="009C07C7">
      <w:pPr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çalışanlarına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Koruyucu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Ekipman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5712AF4" w14:textId="4332644F" w:rsidR="00842168" w:rsidRDefault="00842168" w:rsidP="009C07C7">
      <w:pPr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İstenmeyen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Olay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F687EFD" w14:textId="57CBDEE2" w:rsidR="00842168" w:rsidRPr="00FD6272" w:rsidRDefault="00842168" w:rsidP="009C07C7">
      <w:pPr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İhtiyaç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384D1" w14:textId="77777777" w:rsidR="000A07B7" w:rsidRPr="00FD6272" w:rsidRDefault="000A07B7">
      <w:pPr>
        <w:rPr>
          <w:rFonts w:ascii="Times New Roman" w:hAnsi="Times New Roman" w:cs="Times New Roman"/>
          <w:sz w:val="24"/>
          <w:szCs w:val="24"/>
        </w:rPr>
      </w:pPr>
    </w:p>
    <w:sectPr w:rsidR="000A07B7" w:rsidRPr="00FD6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E9C0" w14:textId="77777777" w:rsidR="006E43F6" w:rsidRDefault="006E43F6" w:rsidP="00D3495E">
      <w:pPr>
        <w:spacing w:after="0" w:line="240" w:lineRule="auto"/>
      </w:pPr>
      <w:r>
        <w:separator/>
      </w:r>
    </w:p>
  </w:endnote>
  <w:endnote w:type="continuationSeparator" w:id="0">
    <w:p w14:paraId="227948BA" w14:textId="77777777" w:rsidR="006E43F6" w:rsidRDefault="006E43F6" w:rsidP="00D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6484" w14:textId="77777777" w:rsidR="00F37676" w:rsidRDefault="00F376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779F" w14:textId="77777777" w:rsidR="00F37676" w:rsidRDefault="00F376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85FB" w14:textId="77777777" w:rsidR="00F37676" w:rsidRDefault="00F376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AE6C" w14:textId="77777777" w:rsidR="006E43F6" w:rsidRDefault="006E43F6" w:rsidP="00D3495E">
      <w:pPr>
        <w:spacing w:after="0" w:line="240" w:lineRule="auto"/>
      </w:pPr>
      <w:r>
        <w:separator/>
      </w:r>
    </w:p>
  </w:footnote>
  <w:footnote w:type="continuationSeparator" w:id="0">
    <w:p w14:paraId="701EC5BE" w14:textId="77777777" w:rsidR="006E43F6" w:rsidRDefault="006E43F6" w:rsidP="00D3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9434" w14:textId="77777777" w:rsidR="00F37676" w:rsidRDefault="00F376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47DF" w14:textId="2059BA2C" w:rsidR="00CB1DBB" w:rsidRDefault="00CB1DBB">
    <w:pPr>
      <w:pStyle w:val="stBilgi"/>
    </w:pPr>
  </w:p>
  <w:tbl>
    <w:tblPr>
      <w:tblStyle w:val="TabloKlavuzu"/>
      <w:tblW w:w="4973" w:type="pct"/>
      <w:tblInd w:w="0" w:type="dxa"/>
      <w:tblLook w:val="04A0" w:firstRow="1" w:lastRow="0" w:firstColumn="1" w:lastColumn="0" w:noHBand="0" w:noVBand="1"/>
    </w:tblPr>
    <w:tblGrid>
      <w:gridCol w:w="1677"/>
      <w:gridCol w:w="11"/>
      <w:gridCol w:w="1906"/>
      <w:gridCol w:w="1767"/>
      <w:gridCol w:w="2017"/>
      <w:gridCol w:w="1635"/>
    </w:tblGrid>
    <w:tr w:rsidR="00CB1DBB" w14:paraId="55B88224" w14:textId="77777777" w:rsidTr="00B266C1">
      <w:trPr>
        <w:trHeight w:val="740"/>
      </w:trPr>
      <w:tc>
        <w:tcPr>
          <w:tcW w:w="931" w:type="pct"/>
          <w:gridSpan w:val="2"/>
        </w:tcPr>
        <w:p w14:paraId="68DC2474" w14:textId="77777777" w:rsidR="00CB1DBB" w:rsidRPr="00F37676" w:rsidRDefault="00CB1DBB" w:rsidP="00CB1DBB">
          <w:pPr>
            <w:rPr>
              <w:sz w:val="18"/>
              <w:szCs w:val="18"/>
            </w:rPr>
          </w:pPr>
          <w:bookmarkStart w:id="0" w:name="_GoBack" w:colFirst="0" w:colLast="4"/>
          <w:r w:rsidRPr="00F37676">
            <w:rPr>
              <w:noProof/>
              <w:sz w:val="18"/>
              <w:szCs w:val="18"/>
              <w:lang w:val="tr-TR" w:eastAsia="tr-TR"/>
            </w:rPr>
            <w:drawing>
              <wp:inline distT="0" distB="0" distL="0" distR="0" wp14:anchorId="793F53EE" wp14:editId="0D83D257">
                <wp:extent cx="933450" cy="933450"/>
                <wp:effectExtent l="0" t="0" r="0" b="0"/>
                <wp:docPr id="5" name="Resim 5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gridSpan w:val="3"/>
        </w:tcPr>
        <w:p w14:paraId="0C461EE7" w14:textId="77777777" w:rsidR="00F37676" w:rsidRPr="00F37676" w:rsidRDefault="00F37676" w:rsidP="00F37676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F37676">
            <w:rPr>
              <w:b/>
              <w:sz w:val="18"/>
              <w:szCs w:val="18"/>
            </w:rPr>
            <w:t>T.C.</w:t>
          </w:r>
        </w:p>
        <w:p w14:paraId="791C3871" w14:textId="77777777" w:rsidR="00F37676" w:rsidRPr="00F37676" w:rsidRDefault="00F37676" w:rsidP="00F37676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F37676">
            <w:rPr>
              <w:b/>
              <w:sz w:val="18"/>
              <w:szCs w:val="18"/>
            </w:rPr>
            <w:t>AKSARAY ÜNİVERSİTESİ</w:t>
          </w:r>
        </w:p>
        <w:p w14:paraId="4AAE2D8D" w14:textId="77777777" w:rsidR="00F37676" w:rsidRPr="00F37676" w:rsidRDefault="00F37676" w:rsidP="00F37676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proofErr w:type="spellStart"/>
          <w:r w:rsidRPr="00F37676">
            <w:rPr>
              <w:b/>
              <w:sz w:val="18"/>
              <w:szCs w:val="18"/>
            </w:rPr>
            <w:t>Diş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Hekimliği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Fakültesi</w:t>
          </w:r>
          <w:proofErr w:type="spellEnd"/>
        </w:p>
        <w:p w14:paraId="171666A6" w14:textId="77777777" w:rsidR="00F37676" w:rsidRPr="00F37676" w:rsidRDefault="00F37676" w:rsidP="00F37676">
          <w:pPr>
            <w:jc w:val="center"/>
            <w:rPr>
              <w:b/>
              <w:sz w:val="18"/>
              <w:szCs w:val="18"/>
            </w:rPr>
          </w:pPr>
          <w:proofErr w:type="spellStart"/>
          <w:r w:rsidRPr="00F37676">
            <w:rPr>
              <w:b/>
              <w:sz w:val="18"/>
              <w:szCs w:val="18"/>
            </w:rPr>
            <w:t>Ağız</w:t>
          </w:r>
          <w:proofErr w:type="spellEnd"/>
          <w:r w:rsidRPr="00F37676">
            <w:rPr>
              <w:b/>
              <w:sz w:val="18"/>
              <w:szCs w:val="18"/>
            </w:rPr>
            <w:t xml:space="preserve">, </w:t>
          </w:r>
          <w:proofErr w:type="spellStart"/>
          <w:r w:rsidRPr="00F37676">
            <w:rPr>
              <w:b/>
              <w:sz w:val="18"/>
              <w:szCs w:val="18"/>
            </w:rPr>
            <w:t>Diş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Sağlığı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Uygulama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ve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Araştırma</w:t>
          </w:r>
          <w:proofErr w:type="spellEnd"/>
          <w:r w:rsidRPr="00F37676">
            <w:rPr>
              <w:b/>
              <w:sz w:val="18"/>
              <w:szCs w:val="18"/>
            </w:rPr>
            <w:t xml:space="preserve"> </w:t>
          </w:r>
          <w:proofErr w:type="spellStart"/>
          <w:r w:rsidRPr="00F37676">
            <w:rPr>
              <w:b/>
              <w:sz w:val="18"/>
              <w:szCs w:val="18"/>
            </w:rPr>
            <w:t>Merkezi</w:t>
          </w:r>
          <w:proofErr w:type="spellEnd"/>
        </w:p>
        <w:p w14:paraId="3D655026" w14:textId="2A1C9245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ENFEKSİYON KONTROL KOMİTESİ GÖREV TANIMI</w:t>
          </w:r>
        </w:p>
      </w:tc>
      <w:tc>
        <w:tcPr>
          <w:tcW w:w="908" w:type="pct"/>
        </w:tcPr>
        <w:p w14:paraId="72C09918" w14:textId="77777777" w:rsidR="00CB1DBB" w:rsidRPr="00F37676" w:rsidRDefault="00CB1DBB" w:rsidP="00CB1DBB">
          <w:pPr>
            <w:rPr>
              <w:sz w:val="18"/>
              <w:szCs w:val="18"/>
            </w:rPr>
          </w:pPr>
        </w:p>
        <w:p w14:paraId="61BE1F02" w14:textId="77777777" w:rsidR="00CB1DBB" w:rsidRPr="00F37676" w:rsidRDefault="00CB1DBB" w:rsidP="00CB1DBB">
          <w:pPr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 xml:space="preserve">  </w:t>
          </w:r>
          <w:r w:rsidRPr="00F37676">
            <w:rPr>
              <w:noProof/>
              <w:sz w:val="18"/>
              <w:szCs w:val="18"/>
              <w:lang w:val="tr-TR" w:eastAsia="tr-TR"/>
            </w:rPr>
            <w:drawing>
              <wp:inline distT="0" distB="0" distL="0" distR="0" wp14:anchorId="15291745" wp14:editId="646E665D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DBB" w14:paraId="77865A11" w14:textId="77777777" w:rsidTr="00B266C1">
      <w:trPr>
        <w:trHeight w:val="114"/>
      </w:trPr>
      <w:tc>
        <w:tcPr>
          <w:tcW w:w="926" w:type="pct"/>
        </w:tcPr>
        <w:p w14:paraId="226586EE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DOKÜMAN KODU</w:t>
          </w:r>
        </w:p>
      </w:tc>
      <w:tc>
        <w:tcPr>
          <w:tcW w:w="1064" w:type="pct"/>
          <w:gridSpan w:val="2"/>
        </w:tcPr>
        <w:p w14:paraId="2BF628DC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YAYIN TARİHİ</w:t>
          </w:r>
        </w:p>
      </w:tc>
      <w:tc>
        <w:tcPr>
          <w:tcW w:w="982" w:type="pct"/>
        </w:tcPr>
        <w:p w14:paraId="1D8A55F1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REVİZYON NO</w:t>
          </w:r>
        </w:p>
      </w:tc>
      <w:tc>
        <w:tcPr>
          <w:tcW w:w="1120" w:type="pct"/>
        </w:tcPr>
        <w:p w14:paraId="5F0FC61B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REVİZYON TARİHİ</w:t>
          </w:r>
        </w:p>
      </w:tc>
      <w:tc>
        <w:tcPr>
          <w:tcW w:w="908" w:type="pct"/>
        </w:tcPr>
        <w:p w14:paraId="7B2FE58D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SAYFA NO</w:t>
          </w:r>
        </w:p>
      </w:tc>
    </w:tr>
    <w:tr w:rsidR="00CB1DBB" w14:paraId="06229F20" w14:textId="77777777" w:rsidTr="00B266C1">
      <w:trPr>
        <w:trHeight w:val="114"/>
      </w:trPr>
      <w:tc>
        <w:tcPr>
          <w:tcW w:w="926" w:type="pct"/>
        </w:tcPr>
        <w:p w14:paraId="783A2426" w14:textId="36554DB0" w:rsidR="00CB1DBB" w:rsidRPr="00F37676" w:rsidRDefault="00F37676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KU.GT.47</w:t>
          </w:r>
        </w:p>
      </w:tc>
      <w:tc>
        <w:tcPr>
          <w:tcW w:w="1064" w:type="pct"/>
          <w:gridSpan w:val="2"/>
        </w:tcPr>
        <w:p w14:paraId="6989CE3F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15.01.2025</w:t>
          </w:r>
        </w:p>
      </w:tc>
      <w:tc>
        <w:tcPr>
          <w:tcW w:w="982" w:type="pct"/>
        </w:tcPr>
        <w:p w14:paraId="66BA3E3F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-</w:t>
          </w:r>
        </w:p>
      </w:tc>
      <w:tc>
        <w:tcPr>
          <w:tcW w:w="1120" w:type="pct"/>
        </w:tcPr>
        <w:p w14:paraId="11F2DE4A" w14:textId="77777777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t>-</w:t>
          </w:r>
        </w:p>
      </w:tc>
      <w:tc>
        <w:tcPr>
          <w:tcW w:w="908" w:type="pct"/>
        </w:tcPr>
        <w:p w14:paraId="2D4689D6" w14:textId="583664CC" w:rsidR="00CB1DBB" w:rsidRPr="00F37676" w:rsidRDefault="00CB1DBB" w:rsidP="00CB1DBB">
          <w:pPr>
            <w:jc w:val="center"/>
            <w:rPr>
              <w:sz w:val="18"/>
              <w:szCs w:val="18"/>
            </w:rPr>
          </w:pPr>
          <w:r w:rsidRPr="00F37676">
            <w:rPr>
              <w:sz w:val="18"/>
              <w:szCs w:val="18"/>
            </w:rPr>
            <w:fldChar w:fldCharType="begin"/>
          </w:r>
          <w:r w:rsidRPr="00F37676">
            <w:rPr>
              <w:sz w:val="18"/>
              <w:szCs w:val="18"/>
            </w:rPr>
            <w:instrText xml:space="preserve"> PAGE   \* MERGEFORMAT </w:instrText>
          </w:r>
          <w:r w:rsidRPr="00F37676">
            <w:rPr>
              <w:sz w:val="18"/>
              <w:szCs w:val="18"/>
            </w:rPr>
            <w:fldChar w:fldCharType="separate"/>
          </w:r>
          <w:r w:rsidR="00F37676">
            <w:rPr>
              <w:noProof/>
              <w:sz w:val="18"/>
              <w:szCs w:val="18"/>
            </w:rPr>
            <w:t>1</w:t>
          </w:r>
          <w:r w:rsidRPr="00F37676">
            <w:rPr>
              <w:sz w:val="18"/>
              <w:szCs w:val="18"/>
            </w:rPr>
            <w:fldChar w:fldCharType="end"/>
          </w:r>
          <w:r w:rsidRPr="00F37676">
            <w:rPr>
              <w:sz w:val="18"/>
              <w:szCs w:val="18"/>
            </w:rPr>
            <w:t>/</w:t>
          </w:r>
          <w:r w:rsidRPr="00F37676">
            <w:rPr>
              <w:sz w:val="18"/>
              <w:szCs w:val="18"/>
            </w:rPr>
            <w:fldChar w:fldCharType="begin"/>
          </w:r>
          <w:r w:rsidRPr="00F37676">
            <w:rPr>
              <w:sz w:val="18"/>
              <w:szCs w:val="18"/>
            </w:rPr>
            <w:instrText xml:space="preserve"> NUMPAGES  \# "0" \* Arabic  \* MERGEFORMAT </w:instrText>
          </w:r>
          <w:r w:rsidRPr="00F37676">
            <w:rPr>
              <w:sz w:val="18"/>
              <w:szCs w:val="18"/>
            </w:rPr>
            <w:fldChar w:fldCharType="separate"/>
          </w:r>
          <w:r w:rsidR="00F37676">
            <w:rPr>
              <w:noProof/>
              <w:sz w:val="18"/>
              <w:szCs w:val="18"/>
            </w:rPr>
            <w:t>4</w:t>
          </w:r>
          <w:r w:rsidRPr="00F37676">
            <w:rPr>
              <w:sz w:val="18"/>
              <w:szCs w:val="18"/>
            </w:rPr>
            <w:fldChar w:fldCharType="end"/>
          </w:r>
        </w:p>
      </w:tc>
    </w:tr>
    <w:bookmarkEnd w:id="0"/>
  </w:tbl>
  <w:p w14:paraId="372CF44D" w14:textId="4C1D6FE0" w:rsidR="00CB1DBB" w:rsidRDefault="00CB1DBB">
    <w:pPr>
      <w:pStyle w:val="stBilgi"/>
    </w:pPr>
  </w:p>
  <w:p w14:paraId="586E08FD" w14:textId="77777777" w:rsidR="00CB1DBB" w:rsidRDefault="00CB1D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B992" w14:textId="77777777" w:rsidR="00F37676" w:rsidRDefault="00F376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B7"/>
    <w:rsid w:val="000A07B7"/>
    <w:rsid w:val="000A5E34"/>
    <w:rsid w:val="000C2E83"/>
    <w:rsid w:val="001A0812"/>
    <w:rsid w:val="00414F9B"/>
    <w:rsid w:val="004B64F6"/>
    <w:rsid w:val="004B73E1"/>
    <w:rsid w:val="00522225"/>
    <w:rsid w:val="00685A89"/>
    <w:rsid w:val="006E43F6"/>
    <w:rsid w:val="00842168"/>
    <w:rsid w:val="008C0EF6"/>
    <w:rsid w:val="008D6274"/>
    <w:rsid w:val="008E3524"/>
    <w:rsid w:val="009C07C7"/>
    <w:rsid w:val="00B13DA3"/>
    <w:rsid w:val="00CB1DBB"/>
    <w:rsid w:val="00D3495E"/>
    <w:rsid w:val="00F37676"/>
    <w:rsid w:val="00FB389B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76DA"/>
  <w15:chartTrackingRefBased/>
  <w15:docId w15:val="{21ED8DBB-7697-43A0-8AF4-476E02E4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7C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7C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95E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3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95E"/>
    <w:rPr>
      <w:kern w:val="0"/>
      <w:lang w:val="en-US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414F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KESKİN</dc:creator>
  <cp:keywords/>
  <dc:description/>
  <cp:lastModifiedBy>pc</cp:lastModifiedBy>
  <cp:revision>39</cp:revision>
  <cp:lastPrinted>2023-03-17T08:49:00Z</cp:lastPrinted>
  <dcterms:created xsi:type="dcterms:W3CDTF">2023-03-16T08:24:00Z</dcterms:created>
  <dcterms:modified xsi:type="dcterms:W3CDTF">2025-01-22T07:17:00Z</dcterms:modified>
</cp:coreProperties>
</file>