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73" w:type="pct"/>
        <w:tblLook w:val="04A0" w:firstRow="1" w:lastRow="0" w:firstColumn="1" w:lastColumn="0" w:noHBand="0" w:noVBand="1"/>
      </w:tblPr>
      <w:tblGrid>
        <w:gridCol w:w="1686"/>
        <w:gridCol w:w="11"/>
        <w:gridCol w:w="1875"/>
        <w:gridCol w:w="1738"/>
        <w:gridCol w:w="1984"/>
        <w:gridCol w:w="1606"/>
      </w:tblGrid>
      <w:tr w:rsidR="00273611" w:rsidTr="00B266C1">
        <w:trPr>
          <w:trHeight w:val="740"/>
        </w:trPr>
        <w:tc>
          <w:tcPr>
            <w:tcW w:w="931" w:type="pct"/>
            <w:gridSpan w:val="2"/>
          </w:tcPr>
          <w:p w:rsidR="00273611" w:rsidRPr="00C36336" w:rsidRDefault="00273611" w:rsidP="00B266C1">
            <w:pPr>
              <w:rPr>
                <w:rFonts w:asciiTheme="minorHAnsi" w:hAnsiTheme="minorHAnsi" w:cstheme="minorHAnsi"/>
                <w:sz w:val="18"/>
                <w:szCs w:val="18"/>
              </w:rPr>
            </w:pPr>
            <w:bookmarkStart w:id="0" w:name="_GoBack"/>
            <w:r w:rsidRPr="00C36336">
              <w:rPr>
                <w:rFonts w:asciiTheme="minorHAnsi" w:hAnsiTheme="minorHAnsi" w:cstheme="minorHAnsi"/>
                <w:noProof/>
                <w:sz w:val="18"/>
                <w:szCs w:val="18"/>
              </w:rPr>
              <w:drawing>
                <wp:inline distT="0" distB="0" distL="0" distR="0" wp14:anchorId="532659D9" wp14:editId="0151B3AD">
                  <wp:extent cx="933450" cy="933450"/>
                  <wp:effectExtent l="0" t="0" r="0" b="0"/>
                  <wp:docPr id="1" name="Resim 1"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61" w:type="pct"/>
            <w:gridSpan w:val="3"/>
          </w:tcPr>
          <w:p w:rsidR="00273611" w:rsidRPr="00C36336" w:rsidRDefault="00273611" w:rsidP="00B266C1">
            <w:pPr>
              <w:rPr>
                <w:rFonts w:asciiTheme="minorHAnsi" w:hAnsiTheme="minorHAnsi" w:cstheme="minorHAnsi"/>
                <w:sz w:val="18"/>
                <w:szCs w:val="18"/>
              </w:rPr>
            </w:pPr>
          </w:p>
          <w:p w:rsidR="00C36336" w:rsidRPr="00C36336" w:rsidRDefault="00C36336" w:rsidP="00C36336">
            <w:pPr>
              <w:spacing w:after="23" w:line="256" w:lineRule="auto"/>
              <w:ind w:right="8"/>
              <w:jc w:val="center"/>
              <w:rPr>
                <w:rFonts w:asciiTheme="minorHAnsi" w:hAnsiTheme="minorHAnsi" w:cstheme="minorHAnsi"/>
                <w:sz w:val="18"/>
                <w:szCs w:val="18"/>
              </w:rPr>
            </w:pPr>
            <w:r w:rsidRPr="00C36336">
              <w:rPr>
                <w:rFonts w:asciiTheme="minorHAnsi" w:hAnsiTheme="minorHAnsi" w:cstheme="minorHAnsi"/>
                <w:b/>
                <w:sz w:val="18"/>
                <w:szCs w:val="18"/>
              </w:rPr>
              <w:t>T.C.</w:t>
            </w:r>
          </w:p>
          <w:p w:rsidR="00C36336" w:rsidRPr="00C36336" w:rsidRDefault="00C36336" w:rsidP="00C36336">
            <w:pPr>
              <w:spacing w:after="17" w:line="256" w:lineRule="auto"/>
              <w:ind w:right="8"/>
              <w:jc w:val="center"/>
              <w:rPr>
                <w:rFonts w:asciiTheme="minorHAnsi" w:hAnsiTheme="minorHAnsi" w:cstheme="minorHAnsi"/>
                <w:sz w:val="18"/>
                <w:szCs w:val="18"/>
              </w:rPr>
            </w:pPr>
            <w:r w:rsidRPr="00C36336">
              <w:rPr>
                <w:rFonts w:asciiTheme="minorHAnsi" w:hAnsiTheme="minorHAnsi" w:cstheme="minorHAnsi"/>
                <w:b/>
                <w:sz w:val="18"/>
                <w:szCs w:val="18"/>
              </w:rPr>
              <w:t>AKSARAY ÜNİVERSİTESİ</w:t>
            </w:r>
          </w:p>
          <w:p w:rsidR="00C36336" w:rsidRPr="00C36336" w:rsidRDefault="00C36336" w:rsidP="00C36336">
            <w:pPr>
              <w:spacing w:line="256" w:lineRule="auto"/>
              <w:ind w:right="6"/>
              <w:jc w:val="center"/>
              <w:rPr>
                <w:rFonts w:asciiTheme="minorHAnsi" w:hAnsiTheme="minorHAnsi" w:cstheme="minorHAnsi"/>
                <w:b/>
                <w:sz w:val="18"/>
                <w:szCs w:val="18"/>
              </w:rPr>
            </w:pPr>
            <w:r w:rsidRPr="00C36336">
              <w:rPr>
                <w:rFonts w:asciiTheme="minorHAnsi" w:hAnsiTheme="minorHAnsi" w:cstheme="minorHAnsi"/>
                <w:b/>
                <w:sz w:val="18"/>
                <w:szCs w:val="18"/>
              </w:rPr>
              <w:t>Diş Hekimliği Fakültesi</w:t>
            </w:r>
          </w:p>
          <w:p w:rsidR="00C36336" w:rsidRPr="00C36336" w:rsidRDefault="00C36336" w:rsidP="00C36336">
            <w:pPr>
              <w:jc w:val="center"/>
              <w:rPr>
                <w:rFonts w:asciiTheme="minorHAnsi" w:hAnsiTheme="minorHAnsi" w:cstheme="minorHAnsi"/>
                <w:b/>
                <w:sz w:val="18"/>
                <w:szCs w:val="18"/>
              </w:rPr>
            </w:pPr>
            <w:r w:rsidRPr="00C36336">
              <w:rPr>
                <w:rFonts w:asciiTheme="minorHAnsi" w:hAnsiTheme="minorHAnsi" w:cstheme="minorHAnsi"/>
                <w:b/>
                <w:sz w:val="18"/>
                <w:szCs w:val="18"/>
              </w:rPr>
              <w:t>Ağız, Diş Sağlığı Uygulama ve Araştırma Merkezi</w:t>
            </w:r>
          </w:p>
          <w:p w:rsidR="00273611" w:rsidRPr="00C36336" w:rsidRDefault="00273611" w:rsidP="00B266C1">
            <w:pPr>
              <w:jc w:val="center"/>
              <w:rPr>
                <w:rFonts w:asciiTheme="minorHAnsi" w:hAnsiTheme="minorHAnsi" w:cstheme="minorHAnsi"/>
                <w:sz w:val="18"/>
                <w:szCs w:val="18"/>
              </w:rPr>
            </w:pPr>
          </w:p>
          <w:p w:rsidR="00273611" w:rsidRPr="00C36336" w:rsidRDefault="00664BFB" w:rsidP="00B266C1">
            <w:pPr>
              <w:jc w:val="center"/>
              <w:rPr>
                <w:rFonts w:asciiTheme="minorHAnsi" w:hAnsiTheme="minorHAnsi" w:cstheme="minorHAnsi"/>
                <w:sz w:val="18"/>
                <w:szCs w:val="18"/>
              </w:rPr>
            </w:pPr>
            <w:r w:rsidRPr="00C36336">
              <w:rPr>
                <w:rFonts w:asciiTheme="minorHAnsi" w:hAnsiTheme="minorHAnsi" w:cstheme="minorHAnsi"/>
                <w:sz w:val="18"/>
                <w:szCs w:val="18"/>
              </w:rPr>
              <w:t>KIRMIZI KOD EKİBİ GÖREV TANIMI</w:t>
            </w:r>
          </w:p>
        </w:tc>
        <w:tc>
          <w:tcPr>
            <w:tcW w:w="908" w:type="pct"/>
          </w:tcPr>
          <w:p w:rsidR="00273611" w:rsidRPr="00C36336" w:rsidRDefault="00273611" w:rsidP="00B266C1">
            <w:pPr>
              <w:rPr>
                <w:rFonts w:asciiTheme="minorHAnsi" w:hAnsiTheme="minorHAnsi" w:cstheme="minorHAnsi"/>
                <w:sz w:val="18"/>
                <w:szCs w:val="18"/>
              </w:rPr>
            </w:pPr>
          </w:p>
          <w:p w:rsidR="00273611" w:rsidRPr="00C36336" w:rsidRDefault="00273611" w:rsidP="00B266C1">
            <w:pPr>
              <w:rPr>
                <w:rFonts w:asciiTheme="minorHAnsi" w:hAnsiTheme="minorHAnsi" w:cstheme="minorHAnsi"/>
                <w:sz w:val="18"/>
                <w:szCs w:val="18"/>
              </w:rPr>
            </w:pPr>
            <w:r w:rsidRPr="00C36336">
              <w:rPr>
                <w:rFonts w:asciiTheme="minorHAnsi" w:hAnsiTheme="minorHAnsi" w:cstheme="minorHAnsi"/>
                <w:sz w:val="18"/>
                <w:szCs w:val="18"/>
              </w:rPr>
              <w:t xml:space="preserve">  </w:t>
            </w:r>
            <w:r w:rsidRPr="00C36336">
              <w:rPr>
                <w:rFonts w:asciiTheme="minorHAnsi" w:hAnsiTheme="minorHAnsi" w:cstheme="minorHAnsi"/>
                <w:noProof/>
                <w:sz w:val="18"/>
                <w:szCs w:val="18"/>
              </w:rPr>
              <w:drawing>
                <wp:inline distT="0" distB="0" distL="0" distR="0" wp14:anchorId="36669F28" wp14:editId="19F49AED">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bookmarkEnd w:id="0"/>
      <w:tr w:rsidR="00273611" w:rsidTr="00B266C1">
        <w:trPr>
          <w:trHeight w:val="114"/>
        </w:trPr>
        <w:tc>
          <w:tcPr>
            <w:tcW w:w="926"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DOKÜMAN KODU</w:t>
            </w:r>
          </w:p>
        </w:tc>
        <w:tc>
          <w:tcPr>
            <w:tcW w:w="1064" w:type="pct"/>
            <w:gridSpan w:val="2"/>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YAYIN TARİHİ</w:t>
            </w:r>
          </w:p>
        </w:tc>
        <w:tc>
          <w:tcPr>
            <w:tcW w:w="982"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REVİZYON NO</w:t>
            </w:r>
          </w:p>
        </w:tc>
        <w:tc>
          <w:tcPr>
            <w:tcW w:w="1120"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REVİZYON TARİHİ</w:t>
            </w:r>
          </w:p>
        </w:tc>
        <w:tc>
          <w:tcPr>
            <w:tcW w:w="908"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SAYFA NO</w:t>
            </w:r>
          </w:p>
        </w:tc>
      </w:tr>
      <w:tr w:rsidR="00273611" w:rsidTr="00B266C1">
        <w:trPr>
          <w:trHeight w:val="114"/>
        </w:trPr>
        <w:tc>
          <w:tcPr>
            <w:tcW w:w="926" w:type="pct"/>
          </w:tcPr>
          <w:p w:rsidR="00C36336" w:rsidRPr="00C36336" w:rsidRDefault="00C36336" w:rsidP="00C36336">
            <w:pPr>
              <w:jc w:val="center"/>
              <w:rPr>
                <w:rFonts w:asciiTheme="minorHAnsi" w:hAnsiTheme="minorHAnsi" w:cstheme="minorHAnsi"/>
                <w:sz w:val="18"/>
                <w:szCs w:val="18"/>
              </w:rPr>
            </w:pPr>
            <w:proofErr w:type="gramStart"/>
            <w:r w:rsidRPr="00C36336">
              <w:rPr>
                <w:rFonts w:asciiTheme="minorHAnsi" w:hAnsiTheme="minorHAnsi" w:cstheme="minorHAnsi"/>
                <w:sz w:val="18"/>
                <w:szCs w:val="18"/>
              </w:rPr>
              <w:t>KU.GT</w:t>
            </w:r>
            <w:proofErr w:type="gramEnd"/>
            <w:r w:rsidRPr="00C36336">
              <w:rPr>
                <w:rFonts w:asciiTheme="minorHAnsi" w:hAnsiTheme="minorHAnsi" w:cstheme="minorHAnsi"/>
                <w:sz w:val="18"/>
                <w:szCs w:val="18"/>
              </w:rPr>
              <w:t>.07</w:t>
            </w:r>
          </w:p>
        </w:tc>
        <w:tc>
          <w:tcPr>
            <w:tcW w:w="1064" w:type="pct"/>
            <w:gridSpan w:val="2"/>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15.01.2025</w:t>
            </w:r>
          </w:p>
        </w:tc>
        <w:tc>
          <w:tcPr>
            <w:tcW w:w="982"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w:t>
            </w:r>
          </w:p>
        </w:tc>
        <w:tc>
          <w:tcPr>
            <w:tcW w:w="1120"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t>-</w:t>
            </w:r>
          </w:p>
        </w:tc>
        <w:tc>
          <w:tcPr>
            <w:tcW w:w="908" w:type="pct"/>
          </w:tcPr>
          <w:p w:rsidR="00273611" w:rsidRPr="00C36336" w:rsidRDefault="00273611" w:rsidP="00B266C1">
            <w:pPr>
              <w:jc w:val="center"/>
              <w:rPr>
                <w:rFonts w:asciiTheme="minorHAnsi" w:hAnsiTheme="minorHAnsi" w:cstheme="minorHAnsi"/>
                <w:sz w:val="18"/>
                <w:szCs w:val="18"/>
              </w:rPr>
            </w:pPr>
            <w:r w:rsidRPr="00C36336">
              <w:rPr>
                <w:rFonts w:asciiTheme="minorHAnsi" w:hAnsiTheme="minorHAnsi" w:cstheme="minorHAnsi"/>
                <w:sz w:val="18"/>
                <w:szCs w:val="18"/>
              </w:rPr>
              <w:fldChar w:fldCharType="begin"/>
            </w:r>
            <w:r w:rsidRPr="00C36336">
              <w:rPr>
                <w:rFonts w:asciiTheme="minorHAnsi" w:hAnsiTheme="minorHAnsi" w:cstheme="minorHAnsi"/>
                <w:sz w:val="18"/>
                <w:szCs w:val="18"/>
              </w:rPr>
              <w:instrText xml:space="preserve"> PAGE   \* MERGEFORMAT </w:instrText>
            </w:r>
            <w:r w:rsidRPr="00C36336">
              <w:rPr>
                <w:rFonts w:asciiTheme="minorHAnsi" w:hAnsiTheme="minorHAnsi" w:cstheme="minorHAnsi"/>
                <w:sz w:val="18"/>
                <w:szCs w:val="18"/>
              </w:rPr>
              <w:fldChar w:fldCharType="separate"/>
            </w:r>
            <w:r w:rsidRPr="00C36336">
              <w:rPr>
                <w:rFonts w:asciiTheme="minorHAnsi" w:hAnsiTheme="minorHAnsi" w:cstheme="minorHAnsi"/>
                <w:noProof/>
                <w:sz w:val="18"/>
                <w:szCs w:val="18"/>
              </w:rPr>
              <w:t>1</w:t>
            </w:r>
            <w:r w:rsidRPr="00C36336">
              <w:rPr>
                <w:rFonts w:asciiTheme="minorHAnsi" w:hAnsiTheme="minorHAnsi" w:cstheme="minorHAnsi"/>
                <w:sz w:val="18"/>
                <w:szCs w:val="18"/>
              </w:rPr>
              <w:fldChar w:fldCharType="end"/>
            </w:r>
            <w:r w:rsidRPr="00C36336">
              <w:rPr>
                <w:rFonts w:asciiTheme="minorHAnsi" w:hAnsiTheme="minorHAnsi" w:cstheme="minorHAnsi"/>
                <w:sz w:val="18"/>
                <w:szCs w:val="18"/>
              </w:rPr>
              <w:t>/</w:t>
            </w:r>
            <w:r w:rsidRPr="00C36336">
              <w:rPr>
                <w:rFonts w:asciiTheme="minorHAnsi" w:hAnsiTheme="minorHAnsi" w:cstheme="minorHAnsi"/>
                <w:sz w:val="18"/>
                <w:szCs w:val="18"/>
              </w:rPr>
              <w:fldChar w:fldCharType="begin"/>
            </w:r>
            <w:r w:rsidRPr="00C36336">
              <w:rPr>
                <w:rFonts w:asciiTheme="minorHAnsi" w:hAnsiTheme="minorHAnsi" w:cstheme="minorHAnsi"/>
                <w:sz w:val="18"/>
                <w:szCs w:val="18"/>
              </w:rPr>
              <w:instrText xml:space="preserve"> NUMPAGES  \# "0" \* Arabic  \* MERGEFORMAT </w:instrText>
            </w:r>
            <w:r w:rsidRPr="00C36336">
              <w:rPr>
                <w:rFonts w:asciiTheme="minorHAnsi" w:hAnsiTheme="minorHAnsi" w:cstheme="minorHAnsi"/>
                <w:sz w:val="18"/>
                <w:szCs w:val="18"/>
              </w:rPr>
              <w:fldChar w:fldCharType="separate"/>
            </w:r>
            <w:r w:rsidRPr="00C36336">
              <w:rPr>
                <w:rFonts w:asciiTheme="minorHAnsi" w:hAnsiTheme="minorHAnsi" w:cstheme="minorHAnsi"/>
                <w:noProof/>
                <w:sz w:val="18"/>
                <w:szCs w:val="18"/>
              </w:rPr>
              <w:t>1</w:t>
            </w:r>
            <w:r w:rsidRPr="00C36336">
              <w:rPr>
                <w:rFonts w:asciiTheme="minorHAnsi" w:hAnsiTheme="minorHAnsi" w:cstheme="minorHAnsi"/>
                <w:sz w:val="18"/>
                <w:szCs w:val="18"/>
              </w:rPr>
              <w:fldChar w:fldCharType="end"/>
            </w:r>
          </w:p>
        </w:tc>
      </w:tr>
    </w:tbl>
    <w:p w:rsidR="004E3C52" w:rsidRDefault="00273611">
      <w:pPr>
        <w:spacing w:after="21" w:line="259" w:lineRule="auto"/>
        <w:ind w:left="108" w:right="0" w:firstLine="0"/>
        <w:jc w:val="center"/>
      </w:pPr>
      <w:r>
        <w:t xml:space="preserve"> </w:t>
      </w:r>
    </w:p>
    <w:p w:rsidR="004E3C52" w:rsidRDefault="00273611">
      <w:pPr>
        <w:ind w:left="43" w:right="0" w:firstLine="58"/>
      </w:pPr>
      <w:r>
        <w:rPr>
          <w:b/>
        </w:rPr>
        <w:t>Kırmızı kod;</w:t>
      </w:r>
      <w:r>
        <w:t xml:space="preserve"> hastanede çıkabilecek herhangi bir yangın tehlikesi halinde, yangına en hızlı şekilde müdahale edilerek oluşabilecek tehlikeleri ve zararları en aza indirmek ve/veya önlemek amacıyla oluşturulan acil uyarı kodudur. </w:t>
      </w:r>
    </w:p>
    <w:p w:rsidR="004E3C52" w:rsidRDefault="00273611">
      <w:pPr>
        <w:ind w:left="43" w:right="0" w:firstLine="58"/>
      </w:pPr>
      <w:r>
        <w:t xml:space="preserve">Hastanede, yangına zamanında müdahale yapılmasına yönelik kırmızı kod ile tanımlanan acil uyarı sistemi oluşturulmalıdır. </w:t>
      </w:r>
    </w:p>
    <w:p w:rsidR="004E3C52" w:rsidRDefault="00273611">
      <w:pPr>
        <w:ind w:left="43" w:right="0" w:firstLine="58"/>
      </w:pPr>
      <w:r>
        <w:t xml:space="preserve">Hastanenin tüm alanlarını kapsayıcı ve </w:t>
      </w:r>
      <w:proofErr w:type="spellStart"/>
      <w:r>
        <w:t>adreslenebilir</w:t>
      </w:r>
      <w:proofErr w:type="spellEnd"/>
      <w:r>
        <w:t xml:space="preserve"> bir yangın algılama sistemi bulunmalı, sistemin bakım ve </w:t>
      </w:r>
      <w:proofErr w:type="spellStart"/>
      <w:r>
        <w:t>kontrollleri</w:t>
      </w:r>
      <w:proofErr w:type="spellEnd"/>
      <w:r>
        <w:t xml:space="preserve"> düzenli aralıklarla yapılmalıdır. </w:t>
      </w:r>
    </w:p>
    <w:p w:rsidR="004E3C52" w:rsidRDefault="00273611">
      <w:pPr>
        <w:ind w:left="43" w:right="0" w:firstLine="58"/>
      </w:pPr>
      <w:r>
        <w:t xml:space="preserve">Acil uyarı sistemi, gerektiğinde ilgili kişileri uyarmaya yönelik görsel ve işitsel fonksiyona sahip olmalıdır. Acil uyarı sistemi, kesintisiz güç kaynağına bağlı olarak çalışmalı, itfaiye gibi ilgili birimlerle koordinasyon sağlayacak şekilde oluşturulmalıdır. </w:t>
      </w:r>
    </w:p>
    <w:p w:rsidR="004E3C52" w:rsidRDefault="00273611">
      <w:pPr>
        <w:spacing w:after="0" w:line="259" w:lineRule="auto"/>
        <w:ind w:left="53" w:right="0"/>
        <w:jc w:val="left"/>
      </w:pPr>
      <w:r>
        <w:rPr>
          <w:b/>
        </w:rPr>
        <w:t xml:space="preserve">Kırmızı kod yönetimi ile ilgili sorumlular belirlenmelidir. </w:t>
      </w:r>
    </w:p>
    <w:p w:rsidR="004E3C52" w:rsidRDefault="00273611">
      <w:pPr>
        <w:ind w:left="43" w:right="0" w:firstLine="58"/>
      </w:pPr>
      <w:r>
        <w:t xml:space="preserve">Sorumlular, hastanenin büyüklüğü ve hizmetlerin çeşitliliği dikkate alınarak, kırmızı kod uygulamalarının etkililiğini, sürekliliğini ve sistematikliğini sağlayacak şekilde tanımlanmalı, hastane yönetiminden en az bir kişi sorumlular arasında yer almalıdır. </w:t>
      </w:r>
    </w:p>
    <w:p w:rsidR="004E3C52" w:rsidRDefault="00273611">
      <w:pPr>
        <w:spacing w:after="16" w:line="280" w:lineRule="auto"/>
        <w:ind w:left="0" w:right="13" w:firstLine="58"/>
        <w:jc w:val="left"/>
      </w:pPr>
      <w:r>
        <w:t xml:space="preserve">Sorumluluk alanı, kırmızı kod ile ilgili tatbikat ve eğitimlerin organizasyonu ve gerektiğinde düzeltici önleyici faaliyetlerin başlatılmasını kapsamalıdır. </w:t>
      </w:r>
      <w:r>
        <w:rPr>
          <w:b/>
        </w:rPr>
        <w:t xml:space="preserve">Yapılan kırmızı kod müdahalesi ile ilgili kayıtlar tutulmalıdır. </w:t>
      </w:r>
      <w:r>
        <w:t xml:space="preserve">Tutulan kayıtlarda asgari aşağıdaki bilgiler yer almalıdır: </w:t>
      </w:r>
    </w:p>
    <w:p w:rsidR="004E3C52" w:rsidRDefault="00273611">
      <w:pPr>
        <w:numPr>
          <w:ilvl w:val="0"/>
          <w:numId w:val="1"/>
        </w:numPr>
        <w:ind w:left="648" w:right="0" w:hanging="605"/>
      </w:pPr>
      <w:r>
        <w:t xml:space="preserve">Yangının çıktığı tarih ve saat </w:t>
      </w:r>
    </w:p>
    <w:p w:rsidR="004E3C52" w:rsidRDefault="00273611">
      <w:pPr>
        <w:numPr>
          <w:ilvl w:val="0"/>
          <w:numId w:val="1"/>
        </w:numPr>
        <w:ind w:left="648" w:right="0" w:hanging="605"/>
      </w:pPr>
      <w:r>
        <w:t xml:space="preserve">Yangının çıktığı yer </w:t>
      </w:r>
    </w:p>
    <w:p w:rsidR="004E3C52" w:rsidRDefault="00273611">
      <w:pPr>
        <w:numPr>
          <w:ilvl w:val="0"/>
          <w:numId w:val="1"/>
        </w:numPr>
        <w:ind w:left="648" w:right="0" w:hanging="605"/>
      </w:pPr>
      <w:r>
        <w:t xml:space="preserve">Yangının başlama nedeni </w:t>
      </w:r>
    </w:p>
    <w:p w:rsidR="004E3C52" w:rsidRDefault="00273611">
      <w:pPr>
        <w:numPr>
          <w:ilvl w:val="0"/>
          <w:numId w:val="1"/>
        </w:numPr>
        <w:ind w:left="648" w:right="0" w:hanging="605"/>
      </w:pPr>
      <w:r>
        <w:t xml:space="preserve">Çevrede oluşan olumsuzluklar </w:t>
      </w:r>
    </w:p>
    <w:p w:rsidR="004E3C52" w:rsidRDefault="00273611">
      <w:pPr>
        <w:numPr>
          <w:ilvl w:val="0"/>
          <w:numId w:val="1"/>
        </w:numPr>
        <w:ind w:left="648" w:right="0" w:hanging="605"/>
      </w:pPr>
      <w:r>
        <w:t xml:space="preserve">Yangına müdahale edenlerin kişisel ve iletişim bilgileri Kayıtlar Kalite Yönetim Birimi’ne gönderilmelidir. </w:t>
      </w:r>
    </w:p>
    <w:p w:rsidR="004E3C52" w:rsidRDefault="00273611">
      <w:pPr>
        <w:spacing w:after="0" w:line="259" w:lineRule="auto"/>
        <w:ind w:left="53" w:right="0"/>
        <w:jc w:val="left"/>
      </w:pPr>
      <w:r>
        <w:rPr>
          <w:b/>
        </w:rPr>
        <w:t xml:space="preserve">Çalışanların katılımı ile yılda en az bir kez kırmızı kod tatbikatı yapılmalıdır. </w:t>
      </w:r>
    </w:p>
    <w:p w:rsidR="004E3C52" w:rsidRDefault="00273611">
      <w:pPr>
        <w:ind w:left="53" w:right="0"/>
      </w:pPr>
      <w:r>
        <w:t xml:space="preserve">Tatbikatların görüntü kayıtları bulunmalıdır. </w:t>
      </w:r>
    </w:p>
    <w:p w:rsidR="004E3C52" w:rsidRDefault="00273611">
      <w:pPr>
        <w:ind w:left="53" w:right="0"/>
      </w:pPr>
      <w:r>
        <w:t xml:space="preserve">Tatbikat raporu hazırlanmalıdır. </w:t>
      </w:r>
    </w:p>
    <w:p w:rsidR="004E3C52" w:rsidRDefault="00273611">
      <w:pPr>
        <w:ind w:left="53" w:right="0"/>
      </w:pPr>
      <w:r>
        <w:t xml:space="preserve">Gerektiğinde düzeltici önleyici faaliyetler başlatılmalıdır. </w:t>
      </w:r>
    </w:p>
    <w:p w:rsidR="004E3C52" w:rsidRDefault="00273611">
      <w:pPr>
        <w:ind w:left="53" w:right="0"/>
      </w:pPr>
      <w:r>
        <w:t xml:space="preserve">Çalışanlara kırmızı kod ile ilgili eğitim verilmelidir. </w:t>
      </w:r>
    </w:p>
    <w:p w:rsidR="004E3C52" w:rsidRDefault="00273611">
      <w:pPr>
        <w:spacing w:after="0" w:line="259" w:lineRule="auto"/>
        <w:ind w:left="53" w:right="0"/>
        <w:jc w:val="left"/>
      </w:pPr>
      <w:r>
        <w:rPr>
          <w:b/>
        </w:rPr>
        <w:t>Çalışma Usul ve Esasları:</w:t>
      </w:r>
      <w:r>
        <w:t xml:space="preserve"> </w:t>
      </w:r>
    </w:p>
    <w:p w:rsidR="004E3C52" w:rsidRDefault="00273611">
      <w:pPr>
        <w:ind w:left="53" w:right="0"/>
      </w:pPr>
      <w:r>
        <w:t xml:space="preserve">Ekip üyeleri HKS çerçevesinde, Kalite Yönetim Birimi ile koordine olarak çalışmalarını yürütür. </w:t>
      </w:r>
    </w:p>
    <w:p w:rsidR="004E3C52" w:rsidRDefault="00273611">
      <w:pPr>
        <w:ind w:left="53" w:right="0"/>
      </w:pPr>
      <w:r>
        <w:t xml:space="preserve">Ekip her ayın ilk haftası toplanarak yapılan beyaz kod çağrılarını ve vaka bildirimlerini görüşür. </w:t>
      </w:r>
    </w:p>
    <w:p w:rsidR="004E3C52" w:rsidRDefault="00273611">
      <w:pPr>
        <w:ind w:left="53" w:right="0"/>
      </w:pPr>
      <w:r>
        <w:t xml:space="preserve">Gerektiğinde hastane yöneticileri ve diğer hastane çalışanları toplantıya davet edilebilir. </w:t>
      </w:r>
    </w:p>
    <w:p w:rsidR="004E3C52" w:rsidRDefault="00273611">
      <w:pPr>
        <w:ind w:left="53" w:right="964"/>
      </w:pPr>
      <w:r>
        <w:t xml:space="preserve">Toplantılar gerçekleştirilir. Toplantı Tutanak Formu ile toplantı kararları kayıt altına alınır. Kararın bir örneği Kalite Yönetim Birimine ve üst yönetime gönderilir. </w:t>
      </w:r>
    </w:p>
    <w:p w:rsidR="004E3C52" w:rsidRDefault="00273611">
      <w:pPr>
        <w:spacing w:after="10" w:line="259" w:lineRule="auto"/>
        <w:ind w:left="58" w:right="0" w:firstLine="0"/>
        <w:jc w:val="left"/>
      </w:pPr>
      <w:r>
        <w:t xml:space="preserve">  </w:t>
      </w:r>
    </w:p>
    <w:p w:rsidR="004E3C52" w:rsidRDefault="00273611">
      <w:pPr>
        <w:spacing w:after="0" w:line="259" w:lineRule="auto"/>
        <w:ind w:left="53" w:right="0"/>
        <w:jc w:val="left"/>
      </w:pPr>
      <w:r>
        <w:rPr>
          <w:b/>
        </w:rPr>
        <w:t xml:space="preserve">Ekibin toplanma süresi: </w:t>
      </w:r>
      <w:r>
        <w:t xml:space="preserve">4 ayda bir </w:t>
      </w:r>
    </w:p>
    <w:p w:rsidR="004E3C52" w:rsidRDefault="00273611">
      <w:pPr>
        <w:spacing w:after="28" w:line="259" w:lineRule="auto"/>
        <w:ind w:left="58" w:right="0" w:firstLine="0"/>
        <w:jc w:val="left"/>
      </w:pPr>
      <w:r>
        <w:t xml:space="preserve">  </w:t>
      </w:r>
    </w:p>
    <w:p w:rsidR="004E3C52" w:rsidRDefault="00273611">
      <w:pPr>
        <w:spacing w:after="0" w:line="259" w:lineRule="auto"/>
        <w:ind w:left="58" w:right="0" w:firstLine="0"/>
        <w:jc w:val="left"/>
      </w:pPr>
      <w:r>
        <w:t xml:space="preserve"> </w:t>
      </w:r>
    </w:p>
    <w:sectPr w:rsidR="004E3C52">
      <w:pgSz w:w="11906" w:h="16838"/>
      <w:pgMar w:top="612" w:right="1474" w:bottom="1440" w:left="147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B33F4"/>
    <w:multiLevelType w:val="hybridMultilevel"/>
    <w:tmpl w:val="C256F6F2"/>
    <w:lvl w:ilvl="0" w:tplc="498C0058">
      <w:start w:val="1"/>
      <w:numFmt w:val="bullet"/>
      <w:lvlText w:val="•"/>
      <w:lvlJc w:val="left"/>
      <w:pPr>
        <w:ind w:left="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AE870">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A2462">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CC9FE4">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BA5EC2">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86AA86">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2AB7DE">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FE7E40">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C01B82">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52"/>
    <w:rsid w:val="00273611"/>
    <w:rsid w:val="004E3C52"/>
    <w:rsid w:val="00664BFB"/>
    <w:rsid w:val="00C363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61A0"/>
  <w15:docId w15:val="{BA18087A-92DE-4D47-98E3-D70DE51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right="9" w:hanging="10"/>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59"/>
    <w:rsid w:val="002736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NEZİHAT</dc:creator>
  <cp:keywords/>
  <cp:lastModifiedBy>pc</cp:lastModifiedBy>
  <cp:revision>4</cp:revision>
  <dcterms:created xsi:type="dcterms:W3CDTF">2025-01-17T06:42:00Z</dcterms:created>
  <dcterms:modified xsi:type="dcterms:W3CDTF">2025-01-22T06:49:00Z</dcterms:modified>
</cp:coreProperties>
</file>