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5" w:type="dxa"/>
        <w:tblInd w:w="-866" w:type="dxa"/>
        <w:tblCellMar>
          <w:top w:w="31" w:type="dxa"/>
          <w:left w:w="22" w:type="dxa"/>
          <w:bottom w:w="39" w:type="dxa"/>
          <w:right w:w="89" w:type="dxa"/>
        </w:tblCellMar>
        <w:tblLook w:val="04A0" w:firstRow="1" w:lastRow="0" w:firstColumn="1" w:lastColumn="0" w:noHBand="0" w:noVBand="1"/>
      </w:tblPr>
      <w:tblGrid>
        <w:gridCol w:w="2151"/>
        <w:gridCol w:w="5866"/>
        <w:gridCol w:w="1553"/>
        <w:gridCol w:w="1525"/>
      </w:tblGrid>
      <w:tr w:rsidR="00E10E82">
        <w:trPr>
          <w:trHeight w:val="295"/>
        </w:trPr>
        <w:tc>
          <w:tcPr>
            <w:tcW w:w="1541" w:type="dxa"/>
            <w:vMerge w:val="restart"/>
            <w:tcBorders>
              <w:top w:val="single" w:sz="6" w:space="0" w:color="000000"/>
              <w:left w:val="single" w:sz="6" w:space="0" w:color="000000"/>
              <w:bottom w:val="single" w:sz="6" w:space="0" w:color="000000"/>
              <w:right w:val="single" w:sz="6" w:space="0" w:color="000000"/>
            </w:tcBorders>
            <w:vAlign w:val="bottom"/>
          </w:tcPr>
          <w:p w:rsidR="00E10E82" w:rsidRDefault="008957F2">
            <w:pPr>
              <w:ind w:right="60"/>
              <w:jc w:val="right"/>
            </w:pPr>
            <w:bookmarkStart w:id="0" w:name="_GoBack"/>
            <w:bookmarkEnd w:id="0"/>
            <w:r>
              <w:rPr>
                <w:noProof/>
              </w:rPr>
              <w:drawing>
                <wp:inline distT="0" distB="0" distL="0" distR="0">
                  <wp:extent cx="1257300" cy="1257300"/>
                  <wp:effectExtent l="0" t="0" r="0" b="0"/>
                  <wp:docPr id="1" name="Resim 1" descr="FAKÜL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ÜLTE LOGOS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t xml:space="preserve"> </w:t>
            </w:r>
          </w:p>
        </w:tc>
        <w:tc>
          <w:tcPr>
            <w:tcW w:w="6306" w:type="dxa"/>
            <w:vMerge w:val="restart"/>
            <w:tcBorders>
              <w:top w:val="single" w:sz="6" w:space="0" w:color="000000"/>
              <w:left w:val="single" w:sz="6" w:space="0" w:color="000000"/>
              <w:bottom w:val="single" w:sz="6" w:space="0" w:color="000000"/>
              <w:right w:val="single" w:sz="6" w:space="0" w:color="000000"/>
            </w:tcBorders>
            <w:vAlign w:val="center"/>
          </w:tcPr>
          <w:p w:rsidR="00E10E82" w:rsidRDefault="008957F2">
            <w:pPr>
              <w:ind w:left="92"/>
              <w:jc w:val="center"/>
            </w:pPr>
            <w:r>
              <w:rPr>
                <w:rFonts w:ascii="Times New Roman" w:eastAsia="Times New Roman" w:hAnsi="Times New Roman" w:cs="Times New Roman"/>
                <w:b/>
                <w:sz w:val="24"/>
              </w:rPr>
              <w:t xml:space="preserve">Genel Evrak Sorumlusu </w:t>
            </w:r>
          </w:p>
          <w:p w:rsidR="00E10E82" w:rsidRDefault="008957F2">
            <w:pPr>
              <w:ind w:left="90"/>
              <w:jc w:val="center"/>
            </w:pPr>
            <w:r>
              <w:rPr>
                <w:rFonts w:ascii="Times New Roman" w:eastAsia="Times New Roman" w:hAnsi="Times New Roman" w:cs="Times New Roman"/>
                <w:b/>
                <w:sz w:val="24"/>
              </w:rPr>
              <w:t>Görev Tanım Formu</w:t>
            </w:r>
            <w:r>
              <w:rPr>
                <w:b/>
              </w:rPr>
              <w:t xml:space="preserve"> </w:t>
            </w:r>
          </w:p>
        </w:tc>
        <w:tc>
          <w:tcPr>
            <w:tcW w:w="1611"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b/>
                <w:sz w:val="20"/>
              </w:rPr>
              <w:t xml:space="preserve">Doküman No: </w:t>
            </w:r>
          </w:p>
        </w:tc>
        <w:tc>
          <w:tcPr>
            <w:tcW w:w="1637" w:type="dxa"/>
            <w:tcBorders>
              <w:top w:val="single" w:sz="6" w:space="0" w:color="000000"/>
              <w:left w:val="single" w:sz="6" w:space="0" w:color="000000"/>
              <w:bottom w:val="single" w:sz="6" w:space="0" w:color="000000"/>
              <w:right w:val="single" w:sz="6" w:space="0" w:color="000000"/>
            </w:tcBorders>
          </w:tcPr>
          <w:p w:rsidR="00E10E82" w:rsidRDefault="00E10E82"/>
        </w:tc>
      </w:tr>
      <w:tr w:rsidR="00E10E82">
        <w:trPr>
          <w:trHeight w:val="298"/>
        </w:trPr>
        <w:tc>
          <w:tcPr>
            <w:tcW w:w="0" w:type="auto"/>
            <w:vMerge/>
            <w:tcBorders>
              <w:top w:val="nil"/>
              <w:left w:val="single" w:sz="6" w:space="0" w:color="000000"/>
              <w:bottom w:val="nil"/>
              <w:right w:val="single" w:sz="6" w:space="0" w:color="000000"/>
            </w:tcBorders>
          </w:tcPr>
          <w:p w:rsidR="00E10E82" w:rsidRDefault="00E10E82"/>
        </w:tc>
        <w:tc>
          <w:tcPr>
            <w:tcW w:w="0" w:type="auto"/>
            <w:vMerge/>
            <w:tcBorders>
              <w:top w:val="nil"/>
              <w:left w:val="single" w:sz="6" w:space="0" w:color="000000"/>
              <w:bottom w:val="nil"/>
              <w:right w:val="single" w:sz="6" w:space="0" w:color="000000"/>
            </w:tcBorders>
          </w:tcPr>
          <w:p w:rsidR="00E10E82" w:rsidRDefault="00E10E82"/>
        </w:tc>
        <w:tc>
          <w:tcPr>
            <w:tcW w:w="1611"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b/>
                <w:sz w:val="20"/>
              </w:rPr>
              <w:t xml:space="preserve">Yayın Tarihi: </w:t>
            </w:r>
          </w:p>
        </w:tc>
        <w:tc>
          <w:tcPr>
            <w:tcW w:w="1637" w:type="dxa"/>
            <w:tcBorders>
              <w:top w:val="single" w:sz="6" w:space="0" w:color="000000"/>
              <w:left w:val="single" w:sz="6" w:space="0" w:color="000000"/>
              <w:bottom w:val="single" w:sz="6" w:space="0" w:color="000000"/>
              <w:right w:val="single" w:sz="6" w:space="0" w:color="000000"/>
            </w:tcBorders>
          </w:tcPr>
          <w:p w:rsidR="00E10E82" w:rsidRDefault="00E10E82"/>
        </w:tc>
      </w:tr>
      <w:tr w:rsidR="00E10E82">
        <w:trPr>
          <w:trHeight w:val="296"/>
        </w:trPr>
        <w:tc>
          <w:tcPr>
            <w:tcW w:w="0" w:type="auto"/>
            <w:vMerge/>
            <w:tcBorders>
              <w:top w:val="nil"/>
              <w:left w:val="single" w:sz="6" w:space="0" w:color="000000"/>
              <w:bottom w:val="nil"/>
              <w:right w:val="single" w:sz="6" w:space="0" w:color="000000"/>
            </w:tcBorders>
          </w:tcPr>
          <w:p w:rsidR="00E10E82" w:rsidRDefault="00E10E82"/>
        </w:tc>
        <w:tc>
          <w:tcPr>
            <w:tcW w:w="0" w:type="auto"/>
            <w:vMerge/>
            <w:tcBorders>
              <w:top w:val="nil"/>
              <w:left w:val="single" w:sz="6" w:space="0" w:color="000000"/>
              <w:bottom w:val="nil"/>
              <w:right w:val="single" w:sz="6" w:space="0" w:color="000000"/>
            </w:tcBorders>
          </w:tcPr>
          <w:p w:rsidR="00E10E82" w:rsidRDefault="00E10E82"/>
        </w:tc>
        <w:tc>
          <w:tcPr>
            <w:tcW w:w="1611"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b/>
                <w:sz w:val="20"/>
              </w:rPr>
              <w:t xml:space="preserve">Revizyon Tarihi: </w:t>
            </w:r>
          </w:p>
        </w:tc>
        <w:tc>
          <w:tcPr>
            <w:tcW w:w="1637"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sz w:val="20"/>
              </w:rPr>
              <w:t xml:space="preserve"> </w:t>
            </w:r>
          </w:p>
        </w:tc>
      </w:tr>
      <w:tr w:rsidR="00E10E82">
        <w:trPr>
          <w:trHeight w:val="295"/>
        </w:trPr>
        <w:tc>
          <w:tcPr>
            <w:tcW w:w="0" w:type="auto"/>
            <w:vMerge/>
            <w:tcBorders>
              <w:top w:val="nil"/>
              <w:left w:val="single" w:sz="6" w:space="0" w:color="000000"/>
              <w:bottom w:val="nil"/>
              <w:right w:val="single" w:sz="6" w:space="0" w:color="000000"/>
            </w:tcBorders>
          </w:tcPr>
          <w:p w:rsidR="00E10E82" w:rsidRDefault="00E10E82"/>
        </w:tc>
        <w:tc>
          <w:tcPr>
            <w:tcW w:w="0" w:type="auto"/>
            <w:vMerge/>
            <w:tcBorders>
              <w:top w:val="nil"/>
              <w:left w:val="single" w:sz="6" w:space="0" w:color="000000"/>
              <w:bottom w:val="nil"/>
              <w:right w:val="single" w:sz="6" w:space="0" w:color="000000"/>
            </w:tcBorders>
          </w:tcPr>
          <w:p w:rsidR="00E10E82" w:rsidRDefault="00E10E82"/>
        </w:tc>
        <w:tc>
          <w:tcPr>
            <w:tcW w:w="1611"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b/>
                <w:sz w:val="20"/>
              </w:rPr>
              <w:t xml:space="preserve">Revizyon No: </w:t>
            </w:r>
          </w:p>
        </w:tc>
        <w:tc>
          <w:tcPr>
            <w:tcW w:w="1637"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sz w:val="20"/>
              </w:rPr>
              <w:t xml:space="preserve"> </w:t>
            </w:r>
          </w:p>
        </w:tc>
      </w:tr>
      <w:tr w:rsidR="00E10E82">
        <w:trPr>
          <w:trHeight w:val="307"/>
        </w:trPr>
        <w:tc>
          <w:tcPr>
            <w:tcW w:w="0" w:type="auto"/>
            <w:vMerge/>
            <w:tcBorders>
              <w:top w:val="nil"/>
              <w:left w:val="single" w:sz="6" w:space="0" w:color="000000"/>
              <w:bottom w:val="single" w:sz="6" w:space="0" w:color="000000"/>
              <w:right w:val="single" w:sz="6" w:space="0" w:color="000000"/>
            </w:tcBorders>
          </w:tcPr>
          <w:p w:rsidR="00E10E82" w:rsidRDefault="00E10E82"/>
        </w:tc>
        <w:tc>
          <w:tcPr>
            <w:tcW w:w="0" w:type="auto"/>
            <w:vMerge/>
            <w:tcBorders>
              <w:top w:val="nil"/>
              <w:left w:val="single" w:sz="6" w:space="0" w:color="000000"/>
              <w:bottom w:val="single" w:sz="6" w:space="0" w:color="000000"/>
              <w:right w:val="single" w:sz="6" w:space="0" w:color="000000"/>
            </w:tcBorders>
          </w:tcPr>
          <w:p w:rsidR="00E10E82" w:rsidRDefault="00E10E82"/>
        </w:tc>
        <w:tc>
          <w:tcPr>
            <w:tcW w:w="1611"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b/>
                <w:sz w:val="20"/>
              </w:rPr>
              <w:t xml:space="preserve">Sayfa: </w:t>
            </w:r>
          </w:p>
        </w:tc>
        <w:tc>
          <w:tcPr>
            <w:tcW w:w="1637"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sz w:val="20"/>
              </w:rPr>
              <w:t xml:space="preserve">1/1 </w:t>
            </w:r>
          </w:p>
        </w:tc>
      </w:tr>
    </w:tbl>
    <w:p w:rsidR="00E10E82" w:rsidRDefault="008957F2">
      <w:pPr>
        <w:spacing w:after="0"/>
        <w:ind w:right="9310"/>
        <w:jc w:val="right"/>
      </w:pPr>
      <w:r>
        <w:t xml:space="preserve"> </w:t>
      </w:r>
    </w:p>
    <w:p w:rsidR="00E10E82" w:rsidRDefault="008957F2">
      <w:pPr>
        <w:spacing w:after="0"/>
        <w:ind w:left="-1440"/>
      </w:pPr>
      <w:r>
        <w:t xml:space="preserve"> </w:t>
      </w:r>
    </w:p>
    <w:tbl>
      <w:tblPr>
        <w:tblStyle w:val="TableGrid"/>
        <w:tblW w:w="11098" w:type="dxa"/>
        <w:tblInd w:w="-859" w:type="dxa"/>
        <w:tblCellMar>
          <w:top w:w="34" w:type="dxa"/>
          <w:left w:w="22" w:type="dxa"/>
        </w:tblCellMar>
        <w:tblLook w:val="04A0" w:firstRow="1" w:lastRow="0" w:firstColumn="1" w:lastColumn="0" w:noHBand="0" w:noVBand="1"/>
      </w:tblPr>
      <w:tblGrid>
        <w:gridCol w:w="2840"/>
        <w:gridCol w:w="8258"/>
      </w:tblGrid>
      <w:tr w:rsidR="00E10E82">
        <w:trPr>
          <w:trHeight w:val="439"/>
        </w:trPr>
        <w:tc>
          <w:tcPr>
            <w:tcW w:w="2840" w:type="dxa"/>
            <w:tcBorders>
              <w:top w:val="single" w:sz="6" w:space="0" w:color="000000"/>
              <w:left w:val="single" w:sz="6" w:space="0" w:color="000000"/>
              <w:bottom w:val="single" w:sz="6" w:space="0" w:color="000000"/>
              <w:right w:val="single" w:sz="6" w:space="0" w:color="000000"/>
            </w:tcBorders>
          </w:tcPr>
          <w:p w:rsidR="00E10E82" w:rsidRDefault="008957F2">
            <w:pPr>
              <w:ind w:left="2"/>
            </w:pPr>
            <w:r>
              <w:rPr>
                <w:rFonts w:ascii="Times New Roman" w:eastAsia="Times New Roman" w:hAnsi="Times New Roman" w:cs="Times New Roman"/>
                <w:b/>
                <w:sz w:val="24"/>
              </w:rPr>
              <w:t>1. Birim/ Alt Birim</w:t>
            </w:r>
            <w:r>
              <w:rPr>
                <w:b/>
                <w:sz w:val="24"/>
              </w:rPr>
              <w:t xml:space="preserve"> </w:t>
            </w:r>
          </w:p>
        </w:tc>
        <w:tc>
          <w:tcPr>
            <w:tcW w:w="8258"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rPr>
              <w:t xml:space="preserve">Diş Hekimliği Fakültesi/ Koordinasyon Hizmetleri Birimi </w:t>
            </w:r>
          </w:p>
        </w:tc>
      </w:tr>
      <w:tr w:rsidR="00E10E82">
        <w:trPr>
          <w:trHeight w:val="329"/>
        </w:trPr>
        <w:tc>
          <w:tcPr>
            <w:tcW w:w="2840" w:type="dxa"/>
            <w:tcBorders>
              <w:top w:val="single" w:sz="6" w:space="0" w:color="000000"/>
              <w:left w:val="single" w:sz="6" w:space="0" w:color="000000"/>
              <w:bottom w:val="single" w:sz="6" w:space="0" w:color="000000"/>
              <w:right w:val="single" w:sz="6" w:space="0" w:color="000000"/>
            </w:tcBorders>
          </w:tcPr>
          <w:p w:rsidR="00E10E82" w:rsidRDefault="008957F2">
            <w:pPr>
              <w:ind w:left="2"/>
            </w:pPr>
            <w:r>
              <w:rPr>
                <w:rFonts w:ascii="Times New Roman" w:eastAsia="Times New Roman" w:hAnsi="Times New Roman" w:cs="Times New Roman"/>
                <w:b/>
                <w:sz w:val="24"/>
              </w:rPr>
              <w:t>2. Kadro Unvanı</w:t>
            </w:r>
            <w:r>
              <w:rPr>
                <w:b/>
                <w:sz w:val="24"/>
              </w:rPr>
              <w:t xml:space="preserve"> </w:t>
            </w:r>
          </w:p>
        </w:tc>
        <w:tc>
          <w:tcPr>
            <w:tcW w:w="8258"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rPr>
              <w:t xml:space="preserve">Bilgisayar İşletmeni </w:t>
            </w:r>
          </w:p>
        </w:tc>
      </w:tr>
      <w:tr w:rsidR="00E10E82">
        <w:trPr>
          <w:trHeight w:val="322"/>
        </w:trPr>
        <w:tc>
          <w:tcPr>
            <w:tcW w:w="2840" w:type="dxa"/>
            <w:tcBorders>
              <w:top w:val="single" w:sz="6" w:space="0" w:color="000000"/>
              <w:left w:val="single" w:sz="6" w:space="0" w:color="000000"/>
              <w:bottom w:val="single" w:sz="6" w:space="0" w:color="000000"/>
              <w:right w:val="single" w:sz="6" w:space="0" w:color="000000"/>
            </w:tcBorders>
          </w:tcPr>
          <w:p w:rsidR="00E10E82" w:rsidRDefault="008957F2">
            <w:pPr>
              <w:ind w:left="2"/>
            </w:pPr>
            <w:r>
              <w:rPr>
                <w:rFonts w:ascii="Times New Roman" w:eastAsia="Times New Roman" w:hAnsi="Times New Roman" w:cs="Times New Roman"/>
                <w:b/>
                <w:sz w:val="24"/>
              </w:rPr>
              <w:t>3. Görev Unvanı</w:t>
            </w:r>
            <w:r>
              <w:rPr>
                <w:b/>
                <w:sz w:val="24"/>
              </w:rPr>
              <w:t xml:space="preserve"> </w:t>
            </w:r>
          </w:p>
        </w:tc>
        <w:tc>
          <w:tcPr>
            <w:tcW w:w="8258"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rPr>
              <w:t xml:space="preserve">Genel Evrak Sorumlusu </w:t>
            </w:r>
          </w:p>
        </w:tc>
      </w:tr>
      <w:tr w:rsidR="00E10E82">
        <w:trPr>
          <w:trHeight w:val="588"/>
        </w:trPr>
        <w:tc>
          <w:tcPr>
            <w:tcW w:w="2840" w:type="dxa"/>
            <w:tcBorders>
              <w:top w:val="single" w:sz="6" w:space="0" w:color="000000"/>
              <w:left w:val="single" w:sz="6" w:space="0" w:color="000000"/>
              <w:bottom w:val="single" w:sz="6" w:space="0" w:color="000000"/>
              <w:right w:val="single" w:sz="6" w:space="0" w:color="000000"/>
            </w:tcBorders>
          </w:tcPr>
          <w:p w:rsidR="00E10E82" w:rsidRDefault="008957F2">
            <w:pPr>
              <w:spacing w:after="5"/>
              <w:ind w:left="2"/>
            </w:pPr>
            <w:r>
              <w:rPr>
                <w:rFonts w:ascii="Times New Roman" w:eastAsia="Times New Roman" w:hAnsi="Times New Roman" w:cs="Times New Roman"/>
                <w:b/>
                <w:sz w:val="24"/>
              </w:rPr>
              <w:t xml:space="preserve">4. Bağlı Olduğu Birim </w:t>
            </w:r>
          </w:p>
          <w:p w:rsidR="00E10E82" w:rsidRDefault="008957F2">
            <w:pPr>
              <w:ind w:left="2"/>
            </w:pPr>
            <w:r>
              <w:rPr>
                <w:rFonts w:ascii="Times New Roman" w:eastAsia="Times New Roman" w:hAnsi="Times New Roman" w:cs="Times New Roman"/>
                <w:b/>
                <w:sz w:val="24"/>
              </w:rPr>
              <w:t>Yöneticisi / Amiri</w:t>
            </w:r>
            <w:r>
              <w:rPr>
                <w:b/>
                <w:sz w:val="24"/>
              </w:rPr>
              <w:t xml:space="preserve"> </w:t>
            </w:r>
          </w:p>
        </w:tc>
        <w:tc>
          <w:tcPr>
            <w:tcW w:w="8258" w:type="dxa"/>
            <w:tcBorders>
              <w:top w:val="single" w:sz="6" w:space="0" w:color="000000"/>
              <w:left w:val="single" w:sz="6" w:space="0" w:color="000000"/>
              <w:bottom w:val="single" w:sz="6" w:space="0" w:color="000000"/>
              <w:right w:val="single" w:sz="6" w:space="0" w:color="000000"/>
            </w:tcBorders>
          </w:tcPr>
          <w:p w:rsidR="00E10E82" w:rsidRDefault="008957F2">
            <w:r>
              <w:rPr>
                <w:rFonts w:ascii="Times New Roman" w:eastAsia="Times New Roman" w:hAnsi="Times New Roman" w:cs="Times New Roman"/>
              </w:rPr>
              <w:t xml:space="preserve">Fakülte Sekreteri /Dekan </w:t>
            </w:r>
          </w:p>
        </w:tc>
      </w:tr>
      <w:tr w:rsidR="00E10E82">
        <w:trPr>
          <w:trHeight w:val="6315"/>
        </w:trPr>
        <w:tc>
          <w:tcPr>
            <w:tcW w:w="2840" w:type="dxa"/>
            <w:tcBorders>
              <w:top w:val="single" w:sz="6" w:space="0" w:color="000000"/>
              <w:left w:val="single" w:sz="6" w:space="0" w:color="000000"/>
              <w:bottom w:val="single" w:sz="4" w:space="0" w:color="000000"/>
              <w:right w:val="single" w:sz="6" w:space="0" w:color="000000"/>
            </w:tcBorders>
          </w:tcPr>
          <w:p w:rsidR="00E10E82" w:rsidRDefault="008957F2">
            <w:pPr>
              <w:spacing w:line="281" w:lineRule="auto"/>
              <w:ind w:left="2"/>
            </w:pPr>
            <w:r>
              <w:rPr>
                <w:rFonts w:ascii="Times New Roman" w:eastAsia="Times New Roman" w:hAnsi="Times New Roman" w:cs="Times New Roman"/>
                <w:b/>
                <w:sz w:val="24"/>
              </w:rPr>
              <w:t xml:space="preserve">5. Görev, Yetki ve Sorumlulukları </w:t>
            </w:r>
          </w:p>
          <w:p w:rsidR="00E10E82" w:rsidRDefault="008957F2">
            <w:pPr>
              <w:ind w:left="2"/>
            </w:pPr>
            <w:r>
              <w:rPr>
                <w:rFonts w:ascii="Times New Roman" w:eastAsia="Times New Roman" w:hAnsi="Times New Roman" w:cs="Times New Roman"/>
                <w:b/>
                <w:sz w:val="24"/>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p w:rsidR="00E10E82" w:rsidRDefault="008957F2">
            <w:pPr>
              <w:ind w:left="2"/>
            </w:pPr>
            <w:r>
              <w:rPr>
                <w:rFonts w:ascii="Times New Roman" w:eastAsia="Times New Roman" w:hAnsi="Times New Roman" w:cs="Times New Roman"/>
                <w:b/>
                <w:sz w:val="21"/>
              </w:rPr>
              <w:t xml:space="preserve"> </w:t>
            </w:r>
          </w:p>
        </w:tc>
        <w:tc>
          <w:tcPr>
            <w:tcW w:w="8258" w:type="dxa"/>
            <w:tcBorders>
              <w:top w:val="single" w:sz="6" w:space="0" w:color="000000"/>
              <w:left w:val="single" w:sz="6" w:space="0" w:color="000000"/>
              <w:bottom w:val="single" w:sz="4" w:space="0" w:color="000000"/>
              <w:right w:val="single" w:sz="6" w:space="0" w:color="000000"/>
            </w:tcBorders>
          </w:tcPr>
          <w:p w:rsidR="00E10E82" w:rsidRDefault="008957F2">
            <w:pPr>
              <w:spacing w:line="276" w:lineRule="auto"/>
              <w:jc w:val="both"/>
            </w:pPr>
            <w:r>
              <w:rPr>
                <w:rFonts w:ascii="Times New Roman" w:eastAsia="Times New Roman" w:hAnsi="Times New Roman" w:cs="Times New Roman"/>
                <w:sz w:val="21"/>
              </w:rPr>
              <w:t xml:space="preserve">5.1. Kalite Yönetim Sistemi tarafından oluşturulmuş ve çalışma alanı ile ilgili olan tüm prosedür ve talimatları bilmek ve uygulamakla yükümlüdür. </w:t>
            </w:r>
          </w:p>
          <w:p w:rsidR="00E10E82" w:rsidRDefault="008957F2">
            <w:pPr>
              <w:spacing w:line="278" w:lineRule="auto"/>
              <w:jc w:val="both"/>
            </w:pPr>
            <w:r>
              <w:rPr>
                <w:rFonts w:ascii="Times New Roman" w:eastAsia="Times New Roman" w:hAnsi="Times New Roman" w:cs="Times New Roman"/>
                <w:sz w:val="21"/>
              </w:rPr>
              <w:t xml:space="preserve">5.2. Geliş şekline bakılmaksızın evrak birimine gelen her türlü belgenin, EBYS uygulamasını kullanarak kayıt ve takibini yapar. </w:t>
            </w:r>
          </w:p>
          <w:p w:rsidR="00E10E82" w:rsidRDefault="008957F2">
            <w:pPr>
              <w:spacing w:after="31" w:line="244" w:lineRule="auto"/>
              <w:jc w:val="both"/>
            </w:pPr>
            <w:r>
              <w:rPr>
                <w:rFonts w:ascii="Times New Roman" w:eastAsia="Times New Roman" w:hAnsi="Times New Roman" w:cs="Times New Roman"/>
                <w:sz w:val="21"/>
              </w:rPr>
              <w:t xml:space="preserve">5.3. Süreli veya süresiz basılı yayımlar hariç; gelen belgeleri taranmasına engel bulunmayan ekleriyle birlikte tarayarak elektronik ortama aktarır.  </w:t>
            </w:r>
          </w:p>
          <w:p w:rsidR="00E10E82" w:rsidRDefault="008957F2">
            <w:pPr>
              <w:spacing w:line="252" w:lineRule="auto"/>
              <w:ind w:right="17"/>
              <w:jc w:val="both"/>
            </w:pPr>
            <w:r>
              <w:rPr>
                <w:rFonts w:ascii="Times New Roman" w:eastAsia="Times New Roman" w:hAnsi="Times New Roman" w:cs="Times New Roman"/>
                <w:sz w:val="21"/>
              </w:rPr>
              <w:t xml:space="preserve">5.4. Kapalı zarf ile "Gizli", Çok Gizli", "Kişiye Özel", "Hizmete Özel" şeklinde gelen belgeler Genel Evrak Birimince teslim alınır, açılmadan ilgili yöneticiye sunulur. Kurum dışından gelen bu tür belgeleri Dekana sunmak üzere Fakülte Sekreterine arz eder, havalesi yapıldıktan sonra EBYS’de kayda alır.  </w:t>
            </w:r>
          </w:p>
          <w:p w:rsidR="00E10E82" w:rsidRDefault="008957F2">
            <w:pPr>
              <w:spacing w:line="278" w:lineRule="auto"/>
              <w:jc w:val="both"/>
            </w:pPr>
            <w:r>
              <w:rPr>
                <w:rFonts w:ascii="Times New Roman" w:eastAsia="Times New Roman" w:hAnsi="Times New Roman" w:cs="Times New Roman"/>
                <w:sz w:val="21"/>
              </w:rPr>
              <w:t xml:space="preserve">5.5. Akademik ve idari birimlere gizli yazışmalar dışında elden ya da posta ile gelen yazıları teslim alır ve tarayarak sisteme dâhil eder, yetkili kişiye havale eder.   </w:t>
            </w:r>
          </w:p>
          <w:p w:rsidR="00E10E82" w:rsidRDefault="008957F2">
            <w:pPr>
              <w:spacing w:line="257" w:lineRule="auto"/>
              <w:ind w:right="18"/>
              <w:jc w:val="both"/>
            </w:pPr>
            <w:r>
              <w:rPr>
                <w:rFonts w:ascii="Times New Roman" w:eastAsia="Times New Roman" w:hAnsi="Times New Roman" w:cs="Times New Roman"/>
                <w:sz w:val="21"/>
              </w:rPr>
              <w:t xml:space="preserve">5.6. Asıl nüshası, evrak referans numarası ile daha sonra gönderilen evrakın, mükerrer kayıt girişini engellemek için referans numarası bilgisi üzerinden EBYS kaydının olup­ olmadığını kontrol eder, kaydı olan evrakın ilgili birimlere sadece fiziksel dağıtımının yapılmasını sağlar. </w:t>
            </w:r>
          </w:p>
          <w:p w:rsidR="00E10E82" w:rsidRDefault="008957F2">
            <w:pPr>
              <w:spacing w:line="278" w:lineRule="auto"/>
              <w:jc w:val="both"/>
            </w:pPr>
            <w:r>
              <w:rPr>
                <w:rFonts w:ascii="Times New Roman" w:eastAsia="Times New Roman" w:hAnsi="Times New Roman" w:cs="Times New Roman"/>
                <w:sz w:val="21"/>
              </w:rPr>
              <w:t xml:space="preserve">5.7. EBYS kaydı yapılan ve elektronik ortama aktarılan evrak ve EBYS üzerinden gelen diğer kurum içi kurum dışı gelen evrakları işlem yapılmak üzere ilgili birimlere havale eder.  </w:t>
            </w:r>
          </w:p>
          <w:p w:rsidR="00E10E82" w:rsidRDefault="008957F2">
            <w:r>
              <w:rPr>
                <w:rFonts w:ascii="Times New Roman" w:eastAsia="Times New Roman" w:hAnsi="Times New Roman" w:cs="Times New Roman"/>
                <w:sz w:val="21"/>
              </w:rPr>
              <w:t xml:space="preserve">5.8.  Gerekli hallerde evraka yapılacak işlem konusunda not ekler.  </w:t>
            </w:r>
          </w:p>
          <w:p w:rsidR="00E10E82" w:rsidRDefault="008957F2">
            <w:pPr>
              <w:spacing w:after="14" w:line="263" w:lineRule="auto"/>
            </w:pPr>
            <w:r>
              <w:rPr>
                <w:rFonts w:ascii="Times New Roman" w:eastAsia="Times New Roman" w:hAnsi="Times New Roman" w:cs="Times New Roman"/>
                <w:sz w:val="21"/>
              </w:rPr>
              <w:t xml:space="preserve">5.9. EBYS üzerinden; evrakın iade edilmesi gereken durumlarda bilgi notu ekleyerek evrakı ilgili birime iade eder. İadesi mümkün bulunmayan yazıları ilgili birime üst yazı ile gönderir. </w:t>
            </w:r>
          </w:p>
          <w:p w:rsidR="00E10E82" w:rsidRDefault="008957F2">
            <w:pPr>
              <w:spacing w:line="278" w:lineRule="auto"/>
              <w:jc w:val="both"/>
            </w:pPr>
            <w:r>
              <w:rPr>
                <w:rFonts w:ascii="Times New Roman" w:eastAsia="Times New Roman" w:hAnsi="Times New Roman" w:cs="Times New Roman"/>
                <w:sz w:val="21"/>
              </w:rPr>
              <w:t xml:space="preserve">5.10. Fakültemiz tüm akademik ve idari personeline e-posta üzerinden yönetim tarafından iletilmesi istenen duyuru/duyuruların gönderimini yapar. </w:t>
            </w:r>
          </w:p>
          <w:p w:rsidR="00E10E82" w:rsidRDefault="008957F2">
            <w:pPr>
              <w:spacing w:line="278" w:lineRule="auto"/>
              <w:jc w:val="both"/>
            </w:pPr>
            <w:r>
              <w:rPr>
                <w:rFonts w:ascii="Times New Roman" w:eastAsia="Times New Roman" w:hAnsi="Times New Roman" w:cs="Times New Roman"/>
                <w:sz w:val="21"/>
              </w:rPr>
              <w:t xml:space="preserve">5.7. Gizliliğe riayet etmek, gizlilik derecesine sahip gelen ve giden evrakın usulüne uygun olarak muhatabına iletilmesini sağlar.  </w:t>
            </w:r>
          </w:p>
          <w:p w:rsidR="00E10E82" w:rsidRDefault="008957F2">
            <w:pPr>
              <w:spacing w:after="15"/>
              <w:jc w:val="both"/>
            </w:pPr>
            <w:r>
              <w:rPr>
                <w:rFonts w:ascii="Times New Roman" w:eastAsia="Times New Roman" w:hAnsi="Times New Roman" w:cs="Times New Roman"/>
                <w:sz w:val="21"/>
              </w:rPr>
              <w:t xml:space="preserve">5.8. Kurum adına yapılan çalışmalar ilgili tüm bilgilerin gizliliğini, belgelerin güvenliğini sağlar.  </w:t>
            </w:r>
          </w:p>
          <w:p w:rsidR="00E10E82" w:rsidRDefault="008957F2">
            <w:r>
              <w:rPr>
                <w:rFonts w:ascii="Times New Roman" w:eastAsia="Times New Roman" w:hAnsi="Times New Roman" w:cs="Times New Roman"/>
                <w:sz w:val="21"/>
              </w:rPr>
              <w:t xml:space="preserve">5.9. Tüm uygulama ve işlemleri etik kurallar doğrultusunda yapar/yapılmasını sağlar. </w:t>
            </w:r>
          </w:p>
        </w:tc>
      </w:tr>
      <w:tr w:rsidR="00E10E82">
        <w:trPr>
          <w:trHeight w:val="583"/>
        </w:trPr>
        <w:tc>
          <w:tcPr>
            <w:tcW w:w="2840" w:type="dxa"/>
            <w:tcBorders>
              <w:top w:val="single" w:sz="4" w:space="0" w:color="000000"/>
              <w:left w:val="single" w:sz="6" w:space="0" w:color="000000"/>
              <w:bottom w:val="single" w:sz="4" w:space="0" w:color="000000"/>
              <w:right w:val="single" w:sz="6" w:space="0" w:color="000000"/>
            </w:tcBorders>
          </w:tcPr>
          <w:p w:rsidR="00E10E82" w:rsidRDefault="008957F2">
            <w:pPr>
              <w:ind w:left="2"/>
            </w:pPr>
            <w:r>
              <w:rPr>
                <w:rFonts w:ascii="Times New Roman" w:eastAsia="Times New Roman" w:hAnsi="Times New Roman" w:cs="Times New Roman"/>
                <w:b/>
                <w:sz w:val="24"/>
              </w:rPr>
              <w:t>6. Adı Soyadı / İmza -</w:t>
            </w:r>
          </w:p>
          <w:p w:rsidR="00E10E82" w:rsidRDefault="008957F2">
            <w:pPr>
              <w:ind w:left="2"/>
            </w:pPr>
            <w:r>
              <w:rPr>
                <w:rFonts w:ascii="Times New Roman" w:eastAsia="Times New Roman" w:hAnsi="Times New Roman" w:cs="Times New Roman"/>
                <w:b/>
                <w:sz w:val="24"/>
              </w:rPr>
              <w:t xml:space="preserve">Tarih </w:t>
            </w:r>
          </w:p>
        </w:tc>
        <w:tc>
          <w:tcPr>
            <w:tcW w:w="8258" w:type="dxa"/>
            <w:tcBorders>
              <w:top w:val="single" w:sz="4" w:space="0" w:color="000000"/>
              <w:left w:val="single" w:sz="6" w:space="0" w:color="000000"/>
              <w:bottom w:val="single" w:sz="4" w:space="0" w:color="000000"/>
              <w:right w:val="single" w:sz="6" w:space="0" w:color="000000"/>
            </w:tcBorders>
            <w:vAlign w:val="center"/>
          </w:tcPr>
          <w:p w:rsidR="00E10E82" w:rsidRDefault="008957F2">
            <w:r>
              <w:rPr>
                <w:rFonts w:ascii="Times New Roman" w:eastAsia="Times New Roman" w:hAnsi="Times New Roman" w:cs="Times New Roman"/>
                <w:sz w:val="21"/>
              </w:rPr>
              <w:t xml:space="preserve"> </w:t>
            </w:r>
          </w:p>
        </w:tc>
      </w:tr>
      <w:tr w:rsidR="00E10E82">
        <w:trPr>
          <w:trHeight w:val="586"/>
        </w:trPr>
        <w:tc>
          <w:tcPr>
            <w:tcW w:w="2840" w:type="dxa"/>
            <w:tcBorders>
              <w:top w:val="single" w:sz="4" w:space="0" w:color="000000"/>
              <w:left w:val="single" w:sz="6" w:space="0" w:color="000000"/>
              <w:bottom w:val="single" w:sz="4" w:space="0" w:color="000000"/>
              <w:right w:val="single" w:sz="6" w:space="0" w:color="000000"/>
            </w:tcBorders>
          </w:tcPr>
          <w:p w:rsidR="00E10E82" w:rsidRDefault="008957F2">
            <w:pPr>
              <w:ind w:left="2"/>
            </w:pPr>
            <w:r>
              <w:rPr>
                <w:rFonts w:ascii="Times New Roman" w:eastAsia="Times New Roman" w:hAnsi="Times New Roman" w:cs="Times New Roman"/>
                <w:b/>
                <w:sz w:val="24"/>
              </w:rPr>
              <w:t xml:space="preserve">7. Yerine Görev Yapacak </w:t>
            </w:r>
          </w:p>
          <w:p w:rsidR="00E10E82" w:rsidRDefault="008957F2">
            <w:pPr>
              <w:ind w:left="2"/>
            </w:pPr>
            <w:r>
              <w:rPr>
                <w:rFonts w:ascii="Times New Roman" w:eastAsia="Times New Roman" w:hAnsi="Times New Roman" w:cs="Times New Roman"/>
                <w:b/>
                <w:sz w:val="24"/>
              </w:rPr>
              <w:t xml:space="preserve">Personel </w:t>
            </w:r>
          </w:p>
        </w:tc>
        <w:tc>
          <w:tcPr>
            <w:tcW w:w="8258" w:type="dxa"/>
            <w:tcBorders>
              <w:top w:val="single" w:sz="4" w:space="0" w:color="000000"/>
              <w:left w:val="single" w:sz="6" w:space="0" w:color="000000"/>
              <w:bottom w:val="single" w:sz="4" w:space="0" w:color="000000"/>
              <w:right w:val="single" w:sz="6" w:space="0" w:color="000000"/>
            </w:tcBorders>
            <w:vAlign w:val="center"/>
          </w:tcPr>
          <w:p w:rsidR="00E10E82" w:rsidRDefault="008957F2">
            <w:r>
              <w:rPr>
                <w:rFonts w:ascii="Times New Roman" w:eastAsia="Times New Roman" w:hAnsi="Times New Roman" w:cs="Times New Roman"/>
                <w:sz w:val="21"/>
              </w:rPr>
              <w:t xml:space="preserve"> </w:t>
            </w:r>
          </w:p>
        </w:tc>
      </w:tr>
    </w:tbl>
    <w:p w:rsidR="00E10E82" w:rsidRDefault="008957F2">
      <w:pPr>
        <w:spacing w:after="2358"/>
        <w:ind w:right="9310"/>
        <w:jc w:val="right"/>
      </w:pPr>
      <w:r>
        <w:t xml:space="preserve"> </w:t>
      </w:r>
    </w:p>
    <w:p w:rsidR="00E10E82" w:rsidRDefault="008957F2">
      <w:pPr>
        <w:spacing w:after="0"/>
        <w:ind w:right="9310"/>
        <w:jc w:val="right"/>
      </w:pPr>
      <w:r>
        <w:lastRenderedPageBreak/>
        <w:t xml:space="preserve"> </w:t>
      </w:r>
    </w:p>
    <w:p w:rsidR="00E10E82" w:rsidRDefault="008957F2">
      <w:pPr>
        <w:spacing w:after="0"/>
        <w:ind w:right="9310"/>
        <w:jc w:val="right"/>
      </w:pPr>
      <w:r>
        <w:t xml:space="preserve"> </w:t>
      </w:r>
    </w:p>
    <w:sectPr w:rsidR="00E10E82">
      <w:pgSz w:w="12240" w:h="15840"/>
      <w:pgMar w:top="715"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82"/>
    <w:rsid w:val="008957F2"/>
    <w:rsid w:val="00CB7453"/>
    <w:rsid w:val="00E10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8A6A6-ACB6-42B8-86F7-D4D66C1A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pc</cp:lastModifiedBy>
  <cp:revision>5</cp:revision>
  <dcterms:created xsi:type="dcterms:W3CDTF">2024-05-09T08:39:00Z</dcterms:created>
  <dcterms:modified xsi:type="dcterms:W3CDTF">2024-05-09T12:58:00Z</dcterms:modified>
</cp:coreProperties>
</file>